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i w:val="1"/>
          <w:iCs w:val="1"/>
        </w:rPr>
      </w:pPr>
      <w:r w:rsidDel="00000000" w:rsidR="00000000" w:rsidRPr="00000000">
        <w:rPr>
          <w:i w:val="1"/>
          <w:iCs w:val="1"/>
          <w:rtl w:val="0"/>
        </w:rPr>
        <w:t xml:space="preserve">Whitmore Partners LLP - February 2026 - Confidential</w:t>
      </w:r>
    </w:p>
    <w:p w:rsidR="00000000" w:rsidDel="00000000" w:rsidP="00000000" w:rsidRDefault="00000000" w:rsidRPr="00000000" w14:paraId="00000002">
      <w:pPr>
        <w:spacing w:after="40" w:lineRule="auto"/>
        <w:rPr/>
      </w:pPr>
      <w:r w:rsidDel="00000000" w:rsidR="00000000" w:rsidRPr="00000000">
        <w:rPr>
          <w:rtl w:val="0"/>
        </w:rPr>
        <w:t xml:space="preserve">COMMERCIAL DUE DILIGENCE REPORT</w:t>
      </w:r>
    </w:p>
    <w:p w:rsidR="00000000" w:rsidDel="00000000" w:rsidP="00000000" w:rsidRDefault="00000000" w:rsidRPr="00000000" w14:paraId="00000003">
      <w:pPr>
        <w:spacing w:after="40" w:lineRule="auto"/>
        <w:rPr/>
      </w:pPr>
      <w:r w:rsidDel="00000000" w:rsidR="00000000" w:rsidRPr="00000000">
        <w:rPr>
          <w:rtl w:val="0"/>
        </w:rPr>
        <w:t xml:space="preserve">Prepared by: Whitmore Partners LLP</w:t>
      </w:r>
    </w:p>
    <w:p w:rsidR="00000000" w:rsidDel="00000000" w:rsidP="00000000" w:rsidRDefault="00000000" w:rsidRPr="00000000" w14:paraId="00000004">
      <w:pPr>
        <w:spacing w:after="40" w:lineRule="auto"/>
        <w:rPr/>
      </w:pPr>
      <w:r w:rsidDel="00000000" w:rsidR="00000000" w:rsidRPr="00000000">
        <w:rPr>
          <w:rtl w:val="0"/>
        </w:rPr>
        <w:t xml:space="preserve">Subject: NovaBridge Technologies Ltd</w:t>
      </w:r>
    </w:p>
    <w:p w:rsidR="00000000" w:rsidDel="00000000" w:rsidP="00000000" w:rsidRDefault="00000000" w:rsidRPr="00000000" w14:paraId="00000005">
      <w:pPr>
        <w:spacing w:after="40" w:lineRule="auto"/>
        <w:rPr/>
      </w:pPr>
      <w:r w:rsidDel="00000000" w:rsidR="00000000" w:rsidRPr="00000000">
        <w:rPr>
          <w:rtl w:val="0"/>
        </w:rPr>
        <w:t xml:space="preserve">Date: February 2026</w:t>
      </w:r>
    </w:p>
    <w:p w:rsidR="00000000" w:rsidDel="00000000" w:rsidP="00000000" w:rsidRDefault="00000000" w:rsidRPr="00000000" w14:paraId="00000006">
      <w:pPr>
        <w:spacing w:after="40" w:lineRule="auto"/>
        <w:rPr/>
      </w:pPr>
      <w:r w:rsidDel="00000000" w:rsidR="00000000" w:rsidRPr="00000000">
        <w:rPr>
          <w:rtl w:val="0"/>
        </w:rPr>
        <w:t xml:space="preserve">Classification: Confidential</w:t>
      </w:r>
    </w:p>
    <w:p w:rsidR="00000000" w:rsidDel="00000000" w:rsidP="00000000" w:rsidRDefault="00000000" w:rsidRPr="00000000" w14:paraId="00000007">
      <w:pPr>
        <w:spacing w:after="60" w:lineRule="auto"/>
        <w:rPr>
          <w:b w:val="1"/>
          <w:bCs w:val="1"/>
        </w:rPr>
      </w:pPr>
      <w:r w:rsidDel="00000000" w:rsidR="00000000" w:rsidRPr="00000000">
        <w:rPr>
          <w:b w:val="1"/>
          <w:bCs w:val="1"/>
          <w:rtl w:val="0"/>
        </w:rPr>
        <w:t xml:space="preserve">SECTION 1 - MARKET ASSESSMENT</w:t>
      </w:r>
    </w:p>
    <w:p w:rsidR="00000000" w:rsidDel="00000000" w:rsidP="00000000" w:rsidRDefault="00000000" w:rsidRPr="00000000" w14:paraId="00000008">
      <w:pPr>
        <w:spacing w:after="40" w:lineRule="auto"/>
        <w:rPr/>
      </w:pPr>
      <w:r w:rsidDel="00000000" w:rsidR="00000000" w:rsidRPr="00000000">
        <w:rPr>
          <w:rtl w:val="0"/>
        </w:rPr>
        <w:t xml:space="preserve">We estimate the addressable European PE diligence software market at £580–650M, broadly consistent with the company’s SAM estimate of £620M, though we note this includes adjacent segments the company may not immediately serve.</w:t>
      </w:r>
    </w:p>
    <w:p w:rsidR="00000000" w:rsidDel="00000000" w:rsidP="00000000" w:rsidRDefault="00000000" w:rsidRPr="00000000" w14:paraId="00000009">
      <w:pPr>
        <w:spacing w:after="40" w:lineRule="auto"/>
        <w:rPr/>
      </w:pPr>
      <w:r w:rsidDel="00000000" w:rsidR="00000000" w:rsidRPr="00000000">
        <w:rPr>
          <w:rtl w:val="0"/>
        </w:rPr>
        <w:t xml:space="preserve">Current tooling is dominated by workflow management platforms (Diligent, Midaxo, DealCloud) that focus on process orchestration rather than intelligence structuring. Interviews with 14 PE professionals across 9 firms confirmed appetite for structured diligence intelligence, though adoption barriers exist.</w:t>
      </w:r>
    </w:p>
    <w:p w:rsidR="00000000" w:rsidDel="00000000" w:rsidP="00000000" w:rsidRDefault="00000000" w:rsidRPr="00000000" w14:paraId="0000000A">
      <w:pPr>
        <w:spacing w:after="160" w:lineRule="auto"/>
        <w:rPr/>
      </w:pPr>
      <w:r w:rsidDel="00000000" w:rsidR="00000000" w:rsidRPr="00000000">
        <w:rPr>
          <w:rtl w:val="0"/>
        </w:rPr>
        <w:t xml:space="preserve">9 of 14 expressed concern about data sensitivity - specifically, whether an external platform could meet their information barrier and confidentiality requirements. This is a material go-to-market risk that the company will need to address with robust security architecture and potentially on-premise or private cloud deployment options.</w:t>
      </w:r>
    </w:p>
    <w:p w:rsidR="00000000" w:rsidDel="00000000" w:rsidP="00000000" w:rsidRDefault="00000000" w:rsidRPr="00000000" w14:paraId="0000000B">
      <w:pPr>
        <w:spacing w:after="60" w:lineRule="auto"/>
        <w:rPr>
          <w:b w:val="1"/>
          <w:bCs w:val="1"/>
        </w:rPr>
      </w:pPr>
      <w:r w:rsidDel="00000000" w:rsidR="00000000" w:rsidRPr="00000000">
        <w:rPr>
          <w:b w:val="1"/>
          <w:bCs w:val="1"/>
          <w:rtl w:val="0"/>
        </w:rPr>
        <w:t xml:space="preserve">SECTION 2 - FOUNDER ASSESSMENT</w:t>
      </w:r>
    </w:p>
    <w:p w:rsidR="00000000" w:rsidDel="00000000" w:rsidP="00000000" w:rsidRDefault="00000000" w:rsidRPr="00000000" w14:paraId="0000000C">
      <w:pPr>
        <w:spacing w:after="40" w:lineRule="auto"/>
        <w:rPr/>
      </w:pPr>
      <w:r w:rsidDel="00000000" w:rsidR="00000000" w:rsidRPr="00000000">
        <w:rPr>
          <w:rtl w:val="0"/>
        </w:rPr>
        <w:t xml:space="preserve">Priya Anand brings relevant operational experience from Meridian Analytics (COO, scaled to $12M ARR, acquisition by DataLoop Inc. in 2024). We note that Meridian had raised $8.5M in venture funding prior to acquisition and that the acquisition price was not disclosed - raising the question of whether the exit was a strong outcome relative to capital invested.</w:t>
      </w:r>
    </w:p>
    <w:p w:rsidR="00000000" w:rsidDel="00000000" w:rsidP="00000000" w:rsidRDefault="00000000" w:rsidRPr="00000000" w14:paraId="0000000D">
      <w:pPr>
        <w:spacing w:after="40" w:lineRule="auto"/>
        <w:rPr/>
      </w:pPr>
      <w:r w:rsidDel="00000000" w:rsidR="00000000" w:rsidRPr="00000000">
        <w:rPr>
          <w:rtl w:val="0"/>
        </w:rPr>
        <w:t xml:space="preserve">Her understanding of the PE workflow is informed by 8 years in PE operations at Castlebridge Partners.</w:t>
      </w:r>
    </w:p>
    <w:p w:rsidR="00000000" w:rsidDel="00000000" w:rsidP="00000000" w:rsidRDefault="00000000" w:rsidRPr="00000000" w14:paraId="0000000E">
      <w:pPr>
        <w:spacing w:after="160" w:lineRule="auto"/>
        <w:rPr/>
      </w:pPr>
      <w:r w:rsidDel="00000000" w:rsidR="00000000" w:rsidRPr="00000000">
        <w:rPr>
          <w:rtl w:val="0"/>
        </w:rPr>
        <w:t xml:space="preserve">We were unable to verify the claim of ‘3 LOIs from mid-market PE firms’ independently. Two of the three named firms confirmed exploratory conversations but described the engagement as ‘early-stage discussions’ rather than formal letters of intent. The third firm did not respond to our inquiry.</w:t>
      </w:r>
    </w:p>
    <w:p w:rsidR="00000000" w:rsidDel="00000000" w:rsidP="00000000" w:rsidRDefault="00000000" w:rsidRPr="00000000" w14:paraId="0000000F">
      <w:pPr>
        <w:spacing w:after="60" w:lineRule="auto"/>
        <w:rPr>
          <w:b w:val="1"/>
          <w:bCs w:val="1"/>
        </w:rPr>
      </w:pPr>
      <w:r w:rsidDel="00000000" w:rsidR="00000000" w:rsidRPr="00000000">
        <w:rPr>
          <w:b w:val="1"/>
          <w:bCs w:val="1"/>
          <w:rtl w:val="0"/>
        </w:rPr>
        <w:t xml:space="preserve">SECTION 3 - TECHNOLOGY RISK</w:t>
      </w:r>
    </w:p>
    <w:p w:rsidR="00000000" w:rsidDel="00000000" w:rsidP="00000000" w:rsidRDefault="00000000" w:rsidRPr="00000000" w14:paraId="00000010">
      <w:pPr>
        <w:spacing w:after="40" w:lineRule="auto"/>
        <w:rPr/>
      </w:pPr>
      <w:r w:rsidDel="00000000" w:rsidR="00000000" w:rsidRPr="00000000">
        <w:rPr>
          <w:rtl w:val="0"/>
        </w:rPr>
        <w:t xml:space="preserve">Our technical advisor noted that the integration of deterministic reasoning (ontology, graph constraints) with probabilistic systems (LLMs) is an active area of research with limited production precedent at the scale envisioned.</w:t>
      </w:r>
    </w:p>
    <w:p w:rsidR="00000000" w:rsidDel="00000000" w:rsidP="00000000" w:rsidRDefault="00000000" w:rsidRPr="00000000" w14:paraId="00000011">
      <w:pPr>
        <w:spacing w:after="160" w:lineRule="auto"/>
        <w:rPr/>
      </w:pPr>
      <w:r w:rsidDel="00000000" w:rsidR="00000000" w:rsidRPr="00000000">
        <w:rPr>
          <w:rtl w:val="0"/>
        </w:rPr>
        <w:t xml:space="preserve">The reliance on a single knowledge engineer (Dr. Vassiliades) for the core semantic architecture represents a key-person risk. We recommend the company develop documentation and knowledge transfer protocols to mitigate this.</w:t>
      </w:r>
    </w:p>
    <w:p w:rsidR="00000000" w:rsidDel="00000000" w:rsidP="00000000" w:rsidRDefault="00000000" w:rsidRPr="00000000" w14:paraId="00000012">
      <w:pPr>
        <w:spacing w:after="60" w:lineRule="auto"/>
        <w:rPr>
          <w:b w:val="1"/>
          <w:bCs w:val="1"/>
        </w:rPr>
      </w:pPr>
      <w:r w:rsidDel="00000000" w:rsidR="00000000" w:rsidRPr="00000000">
        <w:rPr>
          <w:b w:val="1"/>
          <w:bCs w:val="1"/>
          <w:rtl w:val="0"/>
        </w:rPr>
        <w:t xml:space="preserve">SECTION 4 - FINANCIAL OBSERVATIONS</w:t>
      </w:r>
    </w:p>
    <w:p w:rsidR="00000000" w:rsidDel="00000000" w:rsidP="00000000" w:rsidRDefault="00000000" w:rsidRPr="00000000" w14:paraId="00000013">
      <w:pPr>
        <w:spacing w:after="40" w:lineRule="auto"/>
        <w:rPr/>
      </w:pPr>
      <w:r w:rsidDel="00000000" w:rsidR="00000000" w:rsidRPr="00000000">
        <w:rPr>
          <w:rtl w:val="0"/>
        </w:rPr>
        <w:t xml:space="preserve">The target of 15 paying firms and £1.2M ARR by end of Year 2 is ambitious but not unrealistic if the pilot with Greenfield Capital converts and provides a strong reference case.</w:t>
      </w:r>
    </w:p>
    <w:p w:rsidR="00000000" w:rsidDel="00000000" w:rsidP="00000000" w:rsidRDefault="00000000" w:rsidRPr="00000000" w14:paraId="00000014">
      <w:pPr>
        <w:spacing w:after="40" w:lineRule="auto"/>
        <w:rPr/>
      </w:pPr>
      <w:r w:rsidDel="00000000" w:rsidR="00000000" w:rsidRPr="00000000">
        <w:rPr>
          <w:rtl w:val="0"/>
        </w:rPr>
        <w:t xml:space="preserve">We note that the £45K–120K/year price point has not been market-tested and may face resistance from firms accustomed to lower-cost workflow tools. Early pricing validation through the Greenfield Capital pilot will be critical.</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