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680"/>
        <w:gridCol w:w="468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444444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666666"/>
          <w:sz w:val="20"/>
        </w:rPr>
        <w:t>PROJECT CASE STUDY: LEDGERLY — INVOICE &amp; QUOTATION GENERATOR PWA</w:t>
      </w:r>
    </w:p>
    <w:p>
      <w:pPr>
        <w:pStyle w:val="Heading1"/>
        <w:spacing w:before="280" w:after="80"/>
        <w:jc w:val="left"/>
      </w:pPr>
      <w:r>
        <w:rPr>
          <w:rFonts w:ascii="Calibri" w:hAnsi="Calibri"/>
          <w:b/>
          <w:color w:val="1B4D4B"/>
          <w:sz w:val="30"/>
        </w:rPr>
        <w:t>Experiment No. 1: Project Selection and Conceptualization</w:t>
      </w:r>
    </w:p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1. Aim &amp; Objectives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primary aim of this experiment is to conceptualize, define, and evaluate the architectural scope of an enterprise-grade web application tailored to small business financial workflows.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Key Specific Objectives: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Problem Diagnosis: </w:t>
      </w:r>
      <w:r>
        <w:rPr>
          <w:rFonts w:ascii="Calibri" w:hAnsi="Calibri"/>
          <w:color w:val="1A202C"/>
          <w:sz w:val="21"/>
        </w:rPr>
        <w:t>Identify and analyze key operational bottlenecks faced by freelancers, gig consultants, and small-to-medium enterprises (SMEs) in manual billing and payment collection.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Scope Formulation: </w:t>
      </w:r>
      <w:r>
        <w:rPr>
          <w:rFonts w:ascii="Calibri" w:hAnsi="Calibri"/>
          <w:color w:val="1A202C"/>
          <w:sz w:val="21"/>
        </w:rPr>
        <w:t>Establish clear functional and technical system boundaries separating client-side capabilities from cloud-dependent ERP workflows.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Feasibility Assessment: </w:t>
      </w:r>
      <w:r>
        <w:rPr>
          <w:rFonts w:ascii="Calibri" w:hAnsi="Calibri"/>
          <w:color w:val="1A202C"/>
          <w:sz w:val="21"/>
        </w:rPr>
        <w:t>Conduct comprehensive feasibility analysis covering Technical, Operational, Economic, and Schedule dimensions.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Persona Modeling: </w:t>
      </w:r>
      <w:r>
        <w:rPr>
          <w:rFonts w:ascii="Calibri" w:hAnsi="Calibri"/>
          <w:color w:val="1A202C"/>
          <w:sz w:val="21"/>
        </w:rPr>
        <w:t>Formulate a formal Stakeholder and User Persona matrix to guide architectural decisions throughout the SDLC.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2. Pre-Requisites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Fundamentals of Software Engineering Life Cycles (Agile, Waterfall, and Spiral paradigms).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Basic principles of commercial invoicing, Indian Goods and Services Tax (GST) taxation hierarchies, and UPI instant settlements.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Understanding of browser storage models (localStorage, IndexedDB) and Progressive Web Application (PWA) offline capabilities.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Hardware &amp; Software Requirements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6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 / Specification</w:t>
            </w:r>
          </w:p>
        </w:tc>
        <w:tc>
          <w:tcPr>
            <w:tcW w:type="dxa" w:w="403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Minimum Recommended Configuration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Processor / CPU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Intel Core i5 / AMD Ryzen 5 or higher (minimum 2.0 GHz)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Memory (RAM)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8.0 GB RAM or higher recommended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Storage / Disk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256 GB SSD (Minimum 500 MB free workspace space)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Display / Resolution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1920 x 1080 Full HD (Responsive down to 360 x 640 mobile viewports)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Operating System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Windows 11 / 10 (64-bit) / Ubuntu Linux / macOS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Web Browser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Google Chrome (v110+), Mozilla Firefox (v115+), Microsoft Edge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Core Technologies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HTML5, Vanilla CSS3 (Custom Variables), ECMAScript 2022 (Pure Vanilla JS)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Runtime &amp; Tooling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Node.js LTS (v20+) for local asset bundling &amp; Python 3.10+ for automated testing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Testing Suite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Python unittest &amp; pytest automated testing harnesses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Version Control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Git v2.40+ &amp; GitHub Pages CI/CD deployment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3. Problem Statement &amp; Background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Modern micro-entrepreneurs, freelancers, and small businesses face severe administrative drag when generating client invoices. The current landscape forces users into an uncomfortable dichotomy: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Primitive Tooling: </w:t>
      </w:r>
      <w:r>
        <w:rPr>
          <w:rFonts w:ascii="Calibri" w:hAnsi="Calibri"/>
          <w:color w:val="1A202C"/>
          <w:sz w:val="21"/>
        </w:rPr>
        <w:t>Error-prone manual templates (Microsoft Word or Excel) lacking real-time validation, automatic tax calculation, payment status tracking, and signature capture.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Bloated Cloud Solutions: </w:t>
      </w:r>
      <w:r>
        <w:rPr>
          <w:rFonts w:ascii="Calibri" w:hAnsi="Calibri"/>
          <w:color w:val="1A202C"/>
          <w:sz w:val="21"/>
        </w:rPr>
        <w:t>Monolithic cloud ERPs (Zoho Books, Tally, QuickBooks) imposing steep recurring subscriptions, complex configuration overhead, mandatory internet connectivity, and privacy risks associated with uploading client contact records to third-party multi-tenant databases.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This friction leads to calculation errors in multi-tier tax rates (CGST, SGST, IGST), broken invoice numbering sequences, delayed invoice disbursements, and untracked partial payments.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single" w:sz="24" w:space="0" w:color="1B4D4B"/>
          <w:top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1B4D4B"/>
                <w:sz w:val="20"/>
              </w:rPr>
              <w:t>STATUTORY REGULATORY STANDARD (GST ACT 2017)</w:t>
              <w:br/>
            </w:r>
            <w:r>
              <w:rPr>
                <w:rFonts w:ascii="Calibri" w:hAnsi="Calibri"/>
                <w:i/>
                <w:color w:val="1A202C"/>
                <w:sz w:val="20"/>
              </w:rPr>
              <w:t>Statutory Indian Invoicing Requirement: Under Rule 46 of the CGST Rules 2017, every tax invoice issued by a registered supplier must contain consecutive serial numbers, GSTIN of supplier and recipient, HSN/SAC codes, state of supply, and clear tax breakouts.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4. Proposed Solution: Ledgerly Invoicing Engine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Ledgerly is conceptualized as an ultra-fast, zero-friction, offline-first Progressive Web Application (PWA). It executes entirely within the client's browser using pure HTML5, modern CSS3 design tokens, and Vanilla ECMAScript 2022.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Core Architectural Pillars: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Data Sovereignty: </w:t>
      </w:r>
      <w:r>
        <w:rPr>
          <w:rFonts w:ascii="Calibri" w:hAnsi="Calibri"/>
          <w:color w:val="1A202C"/>
          <w:sz w:val="21"/>
        </w:rPr>
        <w:t>Zero Server Latency &amp; Total Privacy: All customer catalogs, invoices, and accounting entries reside in local browser storage, ensuring absolute confidentiality without cloud vulnerability.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Statutory Accuracy: </w:t>
      </w:r>
      <w:r>
        <w:rPr>
          <w:rFonts w:ascii="Calibri" w:hAnsi="Calibri"/>
          <w:color w:val="1A202C"/>
          <w:sz w:val="21"/>
        </w:rPr>
        <w:t>Full GST &amp; HSN Compliance: Dynamic calculation of intra-state (CGST + SGST) and inter-state (IGST) tax schedules, HSN tax summary matrices, and automatic number-to-words currency rendering.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Settlement Acceleration: </w:t>
      </w:r>
      <w:r>
        <w:rPr>
          <w:rFonts w:ascii="Calibri" w:hAnsi="Calibri"/>
          <w:color w:val="1A202C"/>
          <w:sz w:val="21"/>
        </w:rPr>
        <w:t>Instant UPI &amp; Canvas Signature: Built-in base64 canvas signature pad and synchronous offline QR code generator for instant BharatPe / GooglePay / PhonePe settlements.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Direct Document Export: </w:t>
      </w:r>
      <w:r>
        <w:rPr>
          <w:rFonts w:ascii="Calibri" w:hAnsi="Calibri"/>
          <w:color w:val="1A202C"/>
          <w:sz w:val="21"/>
        </w:rPr>
        <w:t>High-Fidelity PDF Generation: Single-click client-rendered PDF synthesis calibrated for international A4 dimensions without server round-trips.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96298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ystem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629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718096"/>
          <w:sz w:val="18"/>
        </w:rPr>
        <w:t>Figure: Ledgerly High-Level System Architecture &amp; Offline Storage Boundary</w:t>
      </w:r>
    </w:p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5. Feasibility Study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Feasibility Dimension</w:t>
            </w:r>
          </w:p>
        </w:tc>
        <w:tc>
          <w:tcPr>
            <w:tcW w:type="dxa" w:w="144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Rating</w:t>
            </w:r>
          </w:p>
        </w:tc>
        <w:tc>
          <w:tcPr>
            <w:tcW w:type="dxa" w:w="532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Engineering Justification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Technical Feasibility</w:t>
            </w:r>
          </w:p>
        </w:tc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High</w:t>
            </w:r>
          </w:p>
        </w:tc>
        <w:tc>
          <w:tcPr>
            <w:tcW w:type="dxa" w:w="532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Standard modern browser APIs (HTML5 Canvas, Service Worker, localStorage, Blob URLs) are supported across 98.5% of active global devices without external runtimes.</w:t>
            </w:r>
          </w:p>
        </w:tc>
      </w:tr>
      <w:tr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Operational Feasibility</w:t>
            </w:r>
          </w:p>
        </w:tc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Very High</w:t>
            </w:r>
          </w:p>
        </w:tc>
        <w:tc>
          <w:tcPr>
            <w:tcW w:type="dxa" w:w="532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Single-page responsive workflow requires zero installation, zero user account setup on remote servers, and minimal training for non-technical users.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Economic Feasibility</w:t>
            </w:r>
          </w:p>
        </w:tc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Exceptional</w:t>
            </w:r>
          </w:p>
        </w:tc>
        <w:tc>
          <w:tcPr>
            <w:tcW w:type="dxa" w:w="532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Zero monthly cloud server hosting bills, zero database licensing fees, and minimal operational maintenance overhead.</w:t>
            </w:r>
          </w:p>
        </w:tc>
      </w:tr>
      <w:tr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Schedule Feasibility</w:t>
            </w:r>
          </w:p>
        </w:tc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High</w:t>
            </w:r>
          </w:p>
        </w:tc>
        <w:tc>
          <w:tcPr>
            <w:tcW w:type="dxa" w:w="532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Modular Agile delivery across 13 sprint milestones achievable within a standard 16-week semester schedule.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6. Stakeholder Matrix &amp; Target Personas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Stakeholder Role</w:t>
            </w:r>
          </w:p>
        </w:tc>
        <w:tc>
          <w:tcPr>
            <w:tcW w:type="dxa" w:w="2016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Classification</w:t>
            </w:r>
          </w:p>
        </w:tc>
        <w:tc>
          <w:tcPr>
            <w:tcW w:type="dxa" w:w="475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Key System Requirements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Freelance Designer / Developer</w:t>
            </w:r>
          </w:p>
        </w:tc>
        <w:tc>
          <w:tcPr>
            <w:tcW w:type="dxa" w:w="2016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Sole Practitioner</w:t>
            </w:r>
          </w:p>
        </w:tc>
        <w:tc>
          <w:tcPr>
            <w:tcW w:type="dxa" w:w="475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Quick 60-second invoice drafting, instant UPI payment QR embedding, and mobile WhatsApp PDF sharing.</w:t>
            </w:r>
          </w:p>
        </w:tc>
      </w:tr>
      <w:tr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Small Business Owner / SME</w:t>
            </w:r>
          </w:p>
        </w:tc>
        <w:tc>
          <w:tcPr>
            <w:tcW w:type="dxa" w:w="2016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Enterprise Admin</w:t>
            </w:r>
          </w:p>
        </w:tc>
        <w:tc>
          <w:tcPr>
            <w:tcW w:type="dxa" w:w="475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Multiple client management, GSTIN and HSN rate catalogs, partial installment tracking, and CSV exports.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Corporate Accountant / Auditor</w:t>
            </w:r>
          </w:p>
        </w:tc>
        <w:tc>
          <w:tcPr>
            <w:tcW w:type="dxa" w:w="2016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Financial Auditor</w:t>
            </w:r>
          </w:p>
        </w:tc>
        <w:tc>
          <w:tcPr>
            <w:tcW w:type="dxa" w:w="475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HSN tax summary breakdown tables, reverse charge (RCM) indicators, and clear transaction reference audit trails.</w:t>
            </w:r>
          </w:p>
        </w:tc>
      </w:tr>
      <w:tr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Client Accounts Payable</w:t>
            </w:r>
          </w:p>
        </w:tc>
        <w:tc>
          <w:tcPr>
            <w:tcW w:type="dxa" w:w="2016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End-Payer</w:t>
            </w:r>
          </w:p>
        </w:tc>
        <w:tc>
          <w:tcPr>
            <w:tcW w:type="dxa" w:w="475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Clean, professional tax invoices with transparent payment terms and one-click UPI scanning.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Experimental Validation &amp; Test Cases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Scenario / Feature Tested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Input Data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TC_CONC_01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offline initialization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Launch app without active WiFi/Internet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Service worker serves cached app shell seamlessly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TC_CONC_02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local persistence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Refresh browser after entering client details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Client data persists intact in localStorage buffer</w:t>
            </w:r>
          </w:p>
        </w:tc>
        <w:tc>
          <w:tcPr>
            <w:tcW w:type="dxa" w:w="10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TC_CONC_03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currency precision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Item with 3 decimal precision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formats value to exact 2 decimal currency notation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TC_CONC_04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GST intra-state split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18% tax on intra-state transaction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9% CGST and 9% SGST calculated accurately</w:t>
            </w:r>
          </w:p>
        </w:tc>
        <w:tc>
          <w:tcPr>
            <w:tcW w:type="dxa" w:w="10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TC_CONC_05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mobile viewport layout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Simulated 375px screen width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Sidebar converts to off-canvas responsive drawer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Review &amp; Viva-Voce Questions with Solutions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following technical review questions assess core understanding of software engineering principles, web runtime behavior, and architecture applied in this experiment: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Q1. What is a Progressive Web Application (PWA) and how does it benefit an invoicing solution?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A PWA combines the ubiquitous reach of the web with the native responsiveness of installed desktop/mobile apps. By leveraging Service Workers for caching static assets and client-side storage (localStorage/IndexedDB), Ledgerly operates seamlessly without internet access, eliminating downtime for small businesses.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Q2. Why was a pure client-side architecture chosen over a multi-tenant cloud backend?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Client-side architecture guarantees complete data sovereignty: financial transactions and client contacts are stored exclusively on the user's hardware. Furthermore, it eliminates backend operational costs, server latency, and third-party data breach vectors.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Q3. How does the system ensure consecutive invoice numbers without a central database server?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The client engine scans all existing invoice documents belonging to the active user profile, identifies the highest incremental counter for the current calendar year, and auto-generates the next sequential identifier (e.g., INV-2026-004) while actively checking for collisions.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Q4. What is the significance of the HSN/SAC code in Indian Goods and Services Tax?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HSN (Harmonized System of Nomenclature) and SAC (Services Accounting Code) are international standard codes used by tax authorities to classify goods and services. Ledgerly aggregates items by their HSN/SAC to provide a compliant tax breakdown table required for B2B input tax credits.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Q5. How are digital signatures captured and stored in a client-rendered environment?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The signature pad uses an HTML5 Canvas element listening to normalized touch and mouse coordinate events. Upon completion, the canvas buffer is serialized into a PNG Base64 Data URI, which is embedded directly into the invoice data model and rendered during PDF compilation.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Conclusion &amp; Learning Outcomes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Experiment 1 successfully established the conceptual framework, statutory requirements, and architectural boundaries for the Ledgerly Invoice Generator. The feasibility analysis proved that a pure client-side PWA delivers optimal privacy, zero operating cost, and robust offline reliability, setting a clear trajectory for subsequent development milestones.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Calibri" w:hAnsi="Calibri"/>
        <w:color w:val="718096"/>
        <w:sz w:val="17"/>
      </w:rPr>
      <w:t>Project Case Study: Ledgerly PWA</w:t>
      <w:tab/>
      <w:tab/>
      <w:t>Academic Year 2026-27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18096"/>
        <w:sz w:val="17"/>
      </w:rPr>
      <w:t>Department of Computer Engineering  |  WDL Lab (CMPN Div C)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