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2: Design Static Web Pages Required for the Project (HTML)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objective of this experiment is to architect and implement the static structural foundation of the Ledgerly Single Page Application (SPA) using semantic HTML5 elements.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Semantic Layout: </w:t>
      </w:r>
      <w:r>
        <w:rPr>
          <w:rFonts w:ascii="Calibri" w:hAnsi="Calibri"/>
          <w:color w:val="1A202C"/>
          <w:sz w:val="21"/>
        </w:rPr>
        <w:t>Construct a clean, semantic DOM hierarchy adhering to W3C HTML5 standards.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Accessible Inputs: </w:t>
      </w:r>
      <w:r>
        <w:rPr>
          <w:rFonts w:ascii="Calibri" w:hAnsi="Calibri"/>
          <w:color w:val="1A202C"/>
          <w:sz w:val="21"/>
        </w:rPr>
        <w:t>Implement accessible form controls with native validation attributes (required, pattern, min, step).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Layout Architecture: </w:t>
      </w:r>
      <w:r>
        <w:rPr>
          <w:rFonts w:ascii="Calibri" w:hAnsi="Calibri"/>
          <w:color w:val="1A202C"/>
          <w:sz w:val="21"/>
        </w:rPr>
        <w:t>Establish responsive app-shell containers, off-canvas navigation drawers, and print-ready document sheets.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Interactive Elements: </w:t>
      </w:r>
      <w:r>
        <w:rPr>
          <w:rFonts w:ascii="Calibri" w:hAnsi="Calibri"/>
          <w:color w:val="1A202C"/>
          <w:sz w:val="21"/>
        </w:rPr>
        <w:t>Incorporate native canvas surfaces for signature drawing and dialog overlays for contextual workflows.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HTML5 document structure, standard tags, and Document Object Model (DOM) tree hierarchies.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Understanding of accessibility guidelines (WAI-ARIA) and semantic markup benefits for browser rendering engines.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Theoretical Foundation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HTML5 represents the cornerstone of modern web application development. Unlike earlier HTML revisions that relied heavily on generic &lt;div&gt; and &lt;span&gt; tags ('div soup'), HTML5 provides rich semantic markup that communicates meaning to browsers, screen readers, and search indexing engines.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Semantic Principles Applied in Ledgerly: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Page Structure: </w:t>
      </w:r>
      <w:r>
        <w:rPr>
          <w:rFonts w:ascii="Calibri" w:hAnsi="Calibri"/>
          <w:color w:val="1A202C"/>
          <w:sz w:val="21"/>
        </w:rPr>
        <w:t>Structural Semantics: Distinct structural boundaries using &lt;header&gt;, &lt;nav&gt;, &lt;main&gt;, &lt;aside&gt;, &lt;section&gt;, and &lt;footer&gt; ensure modular code separation.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Native Inputs: </w:t>
      </w:r>
      <w:r>
        <w:rPr>
          <w:rFonts w:ascii="Calibri" w:hAnsi="Calibri"/>
          <w:color w:val="1A202C"/>
          <w:sz w:val="21"/>
        </w:rPr>
        <w:t>Form Controls &amp; Attributes: HTML5 input types (email, tel, date, number) provide native browser validation, contextual mobile keyboards, and localized date pickers without third-party libraries.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Graphic Elements: </w:t>
      </w:r>
      <w:r>
        <w:rPr>
          <w:rFonts w:ascii="Calibri" w:hAnsi="Calibri"/>
          <w:color w:val="1A202C"/>
          <w:sz w:val="21"/>
        </w:rPr>
        <w:t>Graphic &amp; Vector Integration: Native &lt;canvas&gt; elements provide hardware-accelerated drawing surfaces for digital signature capture, while embedded SVG icons deliver crisp visual indicators at any DPI.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HTML5 Element / Selector</w:t>
            </w:r>
          </w:p>
        </w:tc>
        <w:tc>
          <w:tcPr>
            <w:tcW w:type="dxa" w:w="230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Architectural Role</w:t>
            </w:r>
          </w:p>
        </w:tc>
        <w:tc>
          <w:tcPr>
            <w:tcW w:type="dxa" w:w="446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Engineering Description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&lt;nav class="app-sidebar"&gt;</w:t>
            </w:r>
          </w:p>
        </w:tc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Application Navigation</w:t>
            </w:r>
          </w:p>
        </w:tc>
        <w:tc>
          <w:tcPr>
            <w:tcW w:type="dxa" w:w="44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Houses primary route navigation links, theme toggle, and mobile close button with distinct ARIA landmarks.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&lt;main class="app-main"&gt;</w:t>
            </w:r>
          </w:p>
        </w:tc>
        <w:tc>
          <w:tcPr>
            <w:tcW w:type="dxa" w:w="230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Main Content Area</w:t>
            </w:r>
          </w:p>
        </w:tc>
        <w:tc>
          <w:tcPr>
            <w:tcW w:type="dxa" w:w="446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Dynamic container where SPA route views (Dashboard, Builder, Preview, History) mount cleanly.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&lt;canvas id="sigPad"&gt;</w:t>
            </w:r>
          </w:p>
        </w:tc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Signature Surface</w:t>
            </w:r>
          </w:p>
        </w:tc>
        <w:tc>
          <w:tcPr>
            <w:tcW w:type="dxa" w:w="44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Hardware-accelerated pixel canvas supporting normalized 60fps touch and pointer event recording.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&lt;dialog&gt; / .modal-overlay</w:t>
            </w:r>
          </w:p>
        </w:tc>
        <w:tc>
          <w:tcPr>
            <w:tcW w:type="dxa" w:w="230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Contextual Overlays</w:t>
            </w:r>
          </w:p>
        </w:tc>
        <w:tc>
          <w:tcPr>
            <w:tcW w:type="dxa" w:w="446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Modal overlays for customer selection, catalog picker, and payment recording without page redirection.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&lt;table class="inv-items"&gt;</w:t>
            </w:r>
          </w:p>
        </w:tc>
        <w:tc>
          <w:tcPr>
            <w:tcW w:type="dxa" w:w="230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Tabular Line Items</w:t>
            </w:r>
          </w:p>
        </w:tc>
        <w:tc>
          <w:tcPr>
            <w:tcW w:type="dxa" w:w="44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Semantic &lt;table&gt; with &lt;thead&gt;, &lt;tbody&gt;, and &lt;tfoot&gt; ensuring clean formatting and print pagination.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Document Structure &amp; Implementation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application follows the Single-Page Application (SPA) app-shell paradigm. The index.html file provides the static container skeleton, font links, and modal definitions, into which the routing engine injects views.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D3748"/>
                <w:sz w:val="18"/>
              </w:rPr>
              <w:t>&lt;!DOCTYPE html&gt;</w:t>
              <w:br/>
              <w:t>&lt;html lang="en" data-theme="light"&gt;</w:t>
              <w:br/>
              <w:t>&lt;head&gt;</w:t>
              <w:br/>
              <w:t xml:space="preserve">  &lt;meta charset="UTF-8"&gt;</w:t>
              <w:br/>
              <w:t xml:space="preserve">  &lt;meta name="viewport" content="width=device-width, initial-scale=1.0, maximum-scale=1.0, user-scalable=no"&gt;</w:t>
              <w:br/>
              <w:t xml:space="preserve">  &lt;title&gt;Ledgerly — Professional Invoice &amp; Estimate Generator&lt;/title&gt;</w:t>
              <w:br/>
              <w:t xml:space="preserve">  &lt;link rel="manifest" href="manifest.json"&gt;</w:t>
              <w:br/>
              <w:t xml:space="preserve">  &lt;link rel="stylesheet" href="style.css"&gt;</w:t>
              <w:br/>
              <w:t xml:space="preserve">  &lt;link rel="preconnect" href="https://fonts.googleapis.com"&gt;</w:t>
              <w:br/>
              <w:t xml:space="preserve">  &lt;link href="https://fonts.googleapis.com/css2?family=Plus+Jakarta+Sans:wght@400;500;600;700;800&amp;family=JetBrains+Mono:wght@400;500;600;700&amp;display=swap" rel="stylesheet"&gt;</w:t>
              <w:br/>
              <w:t>&lt;/head&gt;</w:t>
              <w:br/>
              <w:t>&lt;body&gt;</w:t>
              <w:br/>
              <w:t xml:space="preserve">  &lt;!-- Mobile Drawer Backdrop --&gt;</w:t>
              <w:br/>
              <w:t xml:space="preserve">  &lt;div class="sidebar-backdrop" id="sidebarBackdrop"&gt;&lt;/div&gt;</w:t>
              <w:br/>
              <w:br/>
              <w:t xml:space="preserve">  &lt;!-- SPA Root Application Shell Container --&gt;</w:t>
              <w:br/>
              <w:t xml:space="preserve">  &lt;div id="app"&gt;&lt;/div&gt;</w:t>
              <w:br/>
              <w:br/>
              <w:t xml:space="preserve">  &lt;!-- Offline Toast Notification System --&gt;</w:t>
              <w:br/>
              <w:t xml:space="preserve">  &lt;div class="toast" id="toast"&gt;&lt;/div&gt;</w:t>
              <w:br/>
              <w:br/>
              <w:t xml:space="preserve">  &lt;!-- Core Scripts --&gt;</w:t>
              <w:br/>
              <w:t xml:space="preserve">  &lt;script src="qrcode.min.js"&gt;&lt;/script&gt;</w:t>
              <w:br/>
              <w:t xml:space="preserve">  &lt;script src="script.js"&gt;&lt;/script&gt;</w:t>
              <w:br/>
              <w:t>&lt;/body&gt;</w:t>
              <w:br/>
              <w:t>&lt;/html&gt;</w:t>
            </w:r>
          </w:p>
        </w:tc>
      </w:tr>
    </w:tbl>
    <w:p>
      <w:pPr>
        <w:spacing w:before="60" w:after="120"/>
        <w:jc w:val="center"/>
      </w:pPr>
      <w:r>
        <w:rPr>
          <w:rFonts w:ascii="Calibri" w:hAnsi="Calibri"/>
          <w:i/>
          <w:color w:val="718096"/>
          <w:sz w:val="17"/>
        </w:rPr>
        <w:t>Listing: index.html — Application Shell Skeleton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TC_HTML_01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viewport meta configuration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Check &lt;meta name='viewport'&gt;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Viewport configured with width=device-width and initial-scale=1.0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TC_HTML_02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semantic table structure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Inspect #invoiceSheet table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Contains valid &lt;thead&gt;, &lt;th&gt;, &lt;tbody&gt;, and &lt;td&gt; hierarchy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TC_HTML_03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canvas dimensions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Inspect #sigPad canvas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Canvas initialized with 460x140 resolution and touch-action: none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TC_HTML_04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form input types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Email, Phone, Date fields in builder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Inputs use type='email', type='tel', type='date', type='number'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TC_HTML_05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modal overlay isolation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Trigger Customer modal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Modal renders as topmost layer with aria-hidden toggle on background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What is the purpose of the HTML5 &lt;!DOCTYPE html&gt; declaration?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The &lt;!DOCTYPE html&gt; declaration instructs the browser's layout engine to render the document in strict standards mode rather than quirks mode, ensuring uniform box model and CSS rendering across browsers.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Why are semantic HTML tags preferred over generic &lt;div&gt; elements?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Semantic elements (&lt;nav&gt;, &lt;main&gt;, &lt;section&gt;, &lt;article&gt;) give semantic meaning to the document tree, enhancing accessibility for screen readers (WCAG compliance), improving SEO, and producing cleaner, more maintainable codebases.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How does the &lt;meta name='viewport'&gt; tag facilitate responsive design?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Without a viewport meta tag, mobile browsers assume a desktop page width (typically 980px) and scale down the page. Setting 'width=device-width, initial-scale=1.0' ensures the viewport width matches the physical device screen, enabling CSS media queries to trigger accurately.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What is the distinction between HTML5 &lt;canvas&gt; and &lt;svg&gt;?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Canvas is a raster, pixel-based immediate-mode drawing surface manipulated via JavaScript, ideal for dynamic rendering like signatures and animations. SVG is a vector-based retained-mode DOM structure, ideal for scalable icons, charts, and graphics that require DOM event binding.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How do native HTML5 form validation attributes work without JavaScript?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Attributes such as 'required', 'pattern', 'min', 'max', and 'type' trigger native browser constraint validation. When a user submits a form, the browser automatically validates inputs and displays localized error tooltips before emitting the 'submit' event.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2 established a standards-compliant, semantic HTML5 foundation for the Ledgerly application. The app-shell structure, mobile drawer backdrop, canvas signature element, and modal dialogs provide an accessible and robust substrate for dynamic JavaScript view injection.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