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444444"/>
          <w:sz w:val="26"/>
        </w:rPr>
        <w:t>SOFTWARE ENGINEERING &amp; WEB DEVELOPMENT LAB MANUAL</w:t>
      </w:r>
    </w:p>
    <w:p>
      <w:pPr>
        <w:jc w:val="center"/>
      </w:pPr>
      <w:r>
        <w:rPr>
          <w:rFonts w:ascii="Calibri" w:hAnsi="Calibri"/>
          <w:i/>
          <w:color w:val="666666"/>
          <w:sz w:val="20"/>
        </w:rPr>
        <w:t>PROJECT CASE STUDY: LEDGERLY — INVOICE &amp; QUOTATION GENERATOR PWA</w:t>
      </w:r>
    </w:p>
    <w:p>
      <w:pPr>
        <w:pStyle w:val="Heading1"/>
        <w:spacing w:before="280" w:after="80"/>
        <w:jc w:val="left"/>
      </w:pPr>
      <w:r>
        <w:rPr>
          <w:rFonts w:ascii="Calibri" w:hAnsi="Calibri"/>
          <w:b/>
          <w:color w:val="1B4D4B"/>
          <w:sz w:val="30"/>
        </w:rPr>
        <w:t>Experiment No. 4: Design a Web Page Using CSS (Cascading Style Sheets)</w:t>
      </w:r>
    </w:p>
    <w:p/>
    <w:p>
      <w:pPr>
        <w:pStyle w:val="Heading2"/>
        <w:spacing w:before="200" w:after="60"/>
      </w:pPr>
      <w:r>
        <w:rPr>
          <w:rFonts w:ascii="Calibri" w:hAnsi="Calibri"/>
          <w:b/>
          <w:color w:val="2C3E50"/>
          <w:sz w:val="25"/>
        </w:rPr>
        <w:t>1. Aim &amp; Objectives</w:t>
      </w:r>
    </w:p>
    <w:p>
      <w:pPr>
        <w:spacing w:before="0" w:after="90" w:line="276" w:lineRule="auto"/>
      </w:pPr>
      <w:r>
        <w:rPr>
          <w:rFonts w:ascii="Calibri" w:hAnsi="Calibri"/>
          <w:color w:val="1A202C"/>
          <w:sz w:val="21"/>
        </w:rPr>
        <w:t>The objective of this experiment is to architect a modern, responsive, and tokenized design system for Ledgerly using pure CSS3, CSS Custom Properties (Variables), Flexbox, CSS Grid, and media print stylesheets.</w:t>
      </w:r>
    </w:p>
    <w:p>
      <w:pPr>
        <w:spacing w:before="0" w:after="90" w:line="276" w:lineRule="auto"/>
      </w:pPr>
      <w:r>
        <w:rPr>
          <w:rFonts w:ascii="Calibri" w:hAnsi="Calibri"/>
          <w:color w:val="1A202C"/>
          <w:sz w:val="21"/>
        </w:rPr>
        <w:t>Key Specific Objectives:</w:t>
      </w:r>
    </w:p>
    <w:p>
      <w:pPr>
        <w:pStyle w:val="ListBullet"/>
        <w:spacing w:before="0" w:after="50" w:line="276" w:lineRule="auto"/>
      </w:pPr>
      <w:r>
        <w:rPr>
          <w:rFonts w:ascii="Calibri" w:hAnsi="Calibri"/>
          <w:b/>
          <w:color w:val="1A202C"/>
          <w:sz w:val="21"/>
        </w:rPr>
        <w:t xml:space="preserve">Design Tokens: </w:t>
      </w:r>
      <w:r>
        <w:rPr>
          <w:rFonts w:ascii="Calibri" w:hAnsi="Calibri"/>
          <w:color w:val="1A202C"/>
          <w:sz w:val="21"/>
        </w:rPr>
        <w:t>Establish a centralized CSS design token architecture supporting light and dark theme switching.</w:t>
      </w:r>
    </w:p>
    <w:p>
      <w:pPr>
        <w:pStyle w:val="ListBullet"/>
        <w:spacing w:before="0" w:after="50" w:line="276" w:lineRule="auto"/>
      </w:pPr>
      <w:r>
        <w:rPr>
          <w:rFonts w:ascii="Calibri" w:hAnsi="Calibri"/>
          <w:b/>
          <w:color w:val="1A202C"/>
          <w:sz w:val="21"/>
        </w:rPr>
        <w:t xml:space="preserve">Responsive Layouts: </w:t>
      </w:r>
      <w:r>
        <w:rPr>
          <w:rFonts w:ascii="Calibri" w:hAnsi="Calibri"/>
          <w:color w:val="1A202C"/>
          <w:sz w:val="21"/>
        </w:rPr>
        <w:t>Build adaptive layouts using CSS Grid and Flexbox that respond smoothly to desktop, tablet, and mobile viewports.</w:t>
      </w:r>
    </w:p>
    <w:p>
      <w:pPr>
        <w:pStyle w:val="ListBullet"/>
        <w:spacing w:before="0" w:after="50" w:line="276" w:lineRule="auto"/>
      </w:pPr>
      <w:r>
        <w:rPr>
          <w:rFonts w:ascii="Calibri" w:hAnsi="Calibri"/>
          <w:b/>
          <w:color w:val="1A202C"/>
          <w:sz w:val="21"/>
        </w:rPr>
        <w:t xml:space="preserve">Print Optimization: </w:t>
      </w:r>
      <w:r>
        <w:rPr>
          <w:rFonts w:ascii="Calibri" w:hAnsi="Calibri"/>
          <w:color w:val="1A202C"/>
          <w:sz w:val="21"/>
        </w:rPr>
        <w:t>Engineer pixel-perfect print stylesheets (@media print) calibrated for standard ISO 216 A4 paper dimensions.</w:t>
      </w:r>
    </w:p>
    <w:p>
      <w:pPr>
        <w:pStyle w:val="ListBullet"/>
        <w:spacing w:before="0" w:after="50" w:line="276" w:lineRule="auto"/>
      </w:pPr>
      <w:r>
        <w:rPr>
          <w:rFonts w:ascii="Calibri" w:hAnsi="Calibri"/>
          <w:b/>
          <w:color w:val="1A202C"/>
          <w:sz w:val="21"/>
        </w:rPr>
        <w:t xml:space="preserve">Visual Polish: </w:t>
      </w:r>
      <w:r>
        <w:rPr>
          <w:rFonts w:ascii="Calibri" w:hAnsi="Calibri"/>
          <w:color w:val="1A202C"/>
          <w:sz w:val="21"/>
        </w:rPr>
        <w:t>Implement micro-interactions, subtle button elevation states, and accessible typography hierarchies.</w:t>
      </w:r>
    </w:p>
    <w:p>
      <w:pPr>
        <w:pStyle w:val="Heading2"/>
        <w:spacing w:before="200" w:after="60"/>
      </w:pPr>
      <w:r>
        <w:rPr>
          <w:rFonts w:ascii="Calibri" w:hAnsi="Calibri"/>
          <w:b/>
          <w:color w:val="2C3E50"/>
          <w:sz w:val="25"/>
        </w:rPr>
        <w:t>2. Pre-Requisites</w:t>
      </w:r>
    </w:p>
    <w:p>
      <w:pPr>
        <w:pStyle w:val="ListBullet"/>
        <w:spacing w:before="0" w:after="50" w:line="276" w:lineRule="auto"/>
      </w:pPr>
      <w:r>
        <w:rPr>
          <w:rFonts w:ascii="Calibri" w:hAnsi="Calibri"/>
          <w:color w:val="1A202C"/>
          <w:sz w:val="21"/>
        </w:rPr>
        <w:t>CSS Box Model, specificity hierarchy, and cascading rules.</w:t>
      </w:r>
    </w:p>
    <w:p>
      <w:pPr>
        <w:pStyle w:val="ListBullet"/>
        <w:spacing w:before="0" w:after="50" w:line="276" w:lineRule="auto"/>
      </w:pPr>
      <w:r>
        <w:rPr>
          <w:rFonts w:ascii="Calibri" w:hAnsi="Calibri"/>
          <w:color w:val="1A202C"/>
          <w:sz w:val="21"/>
        </w:rPr>
        <w:t>Modern CSS layout models: Flexible Box Layout (Flexbox) and Two-Dimensional Grid Layout (CSS Grid).</w:t>
      </w:r>
    </w:p>
    <w:p>
      <w:pPr>
        <w:pStyle w:val="ListBullet"/>
        <w:spacing w:before="0" w:after="50" w:line="276" w:lineRule="auto"/>
      </w:pPr>
      <w:r>
        <w:rPr>
          <w:rFonts w:ascii="Calibri" w:hAnsi="Calibri"/>
          <w:color w:val="1A202C"/>
          <w:sz w:val="21"/>
        </w:rPr>
        <w:t>Media queries (@media screen and @media print) and responsive design principles.</w:t>
      </w:r>
    </w:p>
    <w:p>
      <w:pPr>
        <w:pStyle w:val="Heading2"/>
        <w:spacing w:before="200" w:after="60"/>
      </w:pPr>
      <w:r>
        <w:rPr>
          <w:rFonts w:ascii="Calibri" w:hAnsi="Calibri"/>
          <w:b/>
          <w:color w:val="2C3E50"/>
          <w:sz w:val="25"/>
        </w:rPr>
        <w:t>Hardware &amp; Software Requirements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Component / Specification</w:t>
            </w:r>
          </w:p>
        </w:tc>
        <w:tc>
          <w:tcPr>
            <w:tcW w:type="dxa" w:w="403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Minimum Recommended Configuration</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Processor / CPU</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Intel Core i5 / AMD Ryzen 5 or higher (minimum 2.0 GHz)</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System Memory (RAM)</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8.0 GB RAM or higher recommended</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Storage / Disk</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256 GB SSD (Minimum 500 MB free workspace space)</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Display / Resolution</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1920 x 1080 Full HD (Responsive down to 360 x 640 mobile viewports)</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Operating System</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Windows 11 / 10 (64-bit) / Ubuntu Linux / macOS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Web Browser</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Google Chrome (v110+), Mozilla Firefox (v115+), Microsoft Edge</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Core Technologies</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HTML5, Vanilla CSS3 (Custom Variables), ECMAScript 2022 (Pure Vanilla JS)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Runtime &amp; Tooling</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Node.js LTS (v20+) for local asset bundling &amp; Python 3.10+ for automated testing</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Testing Suite</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Python unittest &amp; pytest automated testing harnesses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Version Control</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Git v2.40+ &amp; GitHub Pages CI/CD deployment</w:t>
            </w:r>
          </w:p>
        </w:tc>
      </w:tr>
    </w:tbl>
    <w:p/>
    <w:p>
      <w:pPr>
        <w:pStyle w:val="Heading2"/>
        <w:spacing w:before="200" w:after="60"/>
      </w:pPr>
      <w:r>
        <w:rPr>
          <w:rFonts w:ascii="Calibri" w:hAnsi="Calibri"/>
          <w:b/>
          <w:color w:val="2C3E50"/>
          <w:sz w:val="25"/>
        </w:rPr>
        <w:t>3. Design Token Architecture &amp; Color Hierarchy</w:t>
      </w:r>
    </w:p>
    <w:p>
      <w:pPr>
        <w:spacing w:before="0" w:after="90" w:line="276" w:lineRule="auto"/>
      </w:pPr>
      <w:r>
        <w:rPr>
          <w:rFonts w:ascii="Calibri" w:hAnsi="Calibri"/>
          <w:color w:val="1A202C"/>
          <w:sz w:val="21"/>
        </w:rPr>
        <w:t>Ledgerly enforces visual consistency through CSS Custom Properties (variables) declared at the :root and [data-theme='dark'] levels. This decouples design decisions from component logic, making theme toggles instantaneous without style recalculation overhead.</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Design Token</w:t>
            </w:r>
          </w:p>
        </w:tc>
        <w:tc>
          <w:tcPr>
            <w:tcW w:type="dxa" w:w="2304"/>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Role / Value</w:t>
            </w:r>
          </w:p>
        </w:tc>
        <w:tc>
          <w:tcPr>
            <w:tcW w:type="dxa" w:w="4464"/>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Functional Application</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--teal (#1b4d4b)</w:t>
            </w:r>
          </w:p>
        </w:tc>
        <w:tc>
          <w:tcPr>
            <w:tcW w:type="dxa" w:w="230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Primary Brand Color</w:t>
            </w:r>
          </w:p>
        </w:tc>
        <w:tc>
          <w:tcPr>
            <w:tcW w:type="dxa" w:w="44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Used for high-priority navigation links, primary action buttons, and table headers.</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--paper (#fbfbf7)</w:t>
            </w:r>
          </w:p>
        </w:tc>
        <w:tc>
          <w:tcPr>
            <w:tcW w:type="dxa" w:w="230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Surface / Canvas Fill</w:t>
            </w:r>
          </w:p>
        </w:tc>
        <w:tc>
          <w:tcPr>
            <w:tcW w:type="dxa" w:w="44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Warm off-white background minimizing eye strain compared to harsh #ffffff.</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--ink (#1f2923)</w:t>
            </w:r>
          </w:p>
        </w:tc>
        <w:tc>
          <w:tcPr>
            <w:tcW w:type="dxa" w:w="230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Primary Typography</w:t>
            </w:r>
          </w:p>
        </w:tc>
        <w:tc>
          <w:tcPr>
            <w:tcW w:type="dxa" w:w="44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Deep charcoal text providing high contrast compliance (WCAG AAA ratio &gt; 7:1).</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--line (#d3d6c7)</w:t>
            </w:r>
          </w:p>
        </w:tc>
        <w:tc>
          <w:tcPr>
            <w:tcW w:type="dxa" w:w="230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Structural Dividers</w:t>
            </w:r>
          </w:p>
        </w:tc>
        <w:tc>
          <w:tcPr>
            <w:tcW w:type="dxa" w:w="44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Subtle border dividers organizing cards, line-item rows, and tabular data.</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--rust (#b82d18)</w:t>
            </w:r>
          </w:p>
        </w:tc>
        <w:tc>
          <w:tcPr>
            <w:tcW w:type="dxa" w:w="230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Alert / Overdue Color</w:t>
            </w:r>
          </w:p>
        </w:tc>
        <w:tc>
          <w:tcPr>
            <w:tcW w:type="dxa" w:w="44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High-visibility accent for overdue balance indicators and destructive actions.</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--brass (#a3803c)</w:t>
            </w:r>
          </w:p>
        </w:tc>
        <w:tc>
          <w:tcPr>
            <w:tcW w:type="dxa" w:w="230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Accent Highlight</w:t>
            </w:r>
          </w:p>
        </w:tc>
        <w:tc>
          <w:tcPr>
            <w:tcW w:type="dxa" w:w="44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Warm metallic accent for active navigation badges and prominent CTA banners.</w:t>
            </w:r>
          </w:p>
        </w:tc>
      </w:tr>
    </w:tbl>
    <w:p/>
    <w:p>
      <w:pPr>
        <w:pStyle w:val="Heading2"/>
        <w:spacing w:before="200" w:after="60"/>
      </w:pPr>
      <w:r>
        <w:rPr>
          <w:rFonts w:ascii="Calibri" w:hAnsi="Calibri"/>
          <w:b/>
          <w:color w:val="2C3E50"/>
          <w:sz w:val="25"/>
        </w:rPr>
        <w:t>4. Responsive Layout &amp; Print Media Architecture</w:t>
      </w:r>
    </w:p>
    <w:p>
      <w:pPr>
        <w:spacing w:before="0" w:after="90" w:line="276" w:lineRule="auto"/>
      </w:pPr>
      <w:r>
        <w:rPr>
          <w:rFonts w:ascii="Calibri" w:hAnsi="Calibri"/>
          <w:color w:val="1A202C"/>
          <w:sz w:val="21"/>
        </w:rPr>
        <w:t>The application employs fluid breakpoints designed from the ground up for mobile and desktop screens:</w:t>
      </w:r>
    </w:p>
    <w:p>
      <w:pPr>
        <w:pStyle w:val="ListBullet"/>
        <w:spacing w:before="0" w:after="50" w:line="276" w:lineRule="auto"/>
      </w:pPr>
      <w:r>
        <w:rPr>
          <w:rFonts w:ascii="Calibri" w:hAnsi="Calibri"/>
          <w:b/>
          <w:color w:val="1A202C"/>
          <w:sz w:val="21"/>
        </w:rPr>
        <w:t xml:space="preserve">Desktop Mode: </w:t>
      </w:r>
      <w:r>
        <w:rPr>
          <w:rFonts w:ascii="Calibri" w:hAnsi="Calibri"/>
          <w:color w:val="1A202C"/>
          <w:sz w:val="21"/>
        </w:rPr>
        <w:t>Desktop (&gt;880px): Fixed 240px sidebar navigation + fluid main content area; 4-column KPI metric grid; side-by-side builder forms.</w:t>
      </w:r>
    </w:p>
    <w:p>
      <w:pPr>
        <w:pStyle w:val="ListBullet"/>
        <w:spacing w:before="0" w:after="50" w:line="276" w:lineRule="auto"/>
      </w:pPr>
      <w:r>
        <w:rPr>
          <w:rFonts w:ascii="Calibri" w:hAnsi="Calibri"/>
          <w:b/>
          <w:color w:val="1A202C"/>
          <w:sz w:val="21"/>
        </w:rPr>
        <w:t xml:space="preserve">Tablet / Mobile: </w:t>
      </w:r>
      <w:r>
        <w:rPr>
          <w:rFonts w:ascii="Calibri" w:hAnsi="Calibri"/>
          <w:color w:val="1A202C"/>
          <w:sz w:val="21"/>
        </w:rPr>
        <w:t>Tablet / Mobile (&lt;=880px): Off-canvas mobile drawer with animated slide-in transform; KPI metric grid scales down to 2 columns; table containers enable horizontal smooth scrolling.</w:t>
      </w:r>
    </w:p>
    <w:p>
      <w:pPr>
        <w:pStyle w:val="ListBullet"/>
        <w:spacing w:before="0" w:after="50" w:line="276" w:lineRule="auto"/>
      </w:pPr>
      <w:r>
        <w:rPr>
          <w:rFonts w:ascii="Calibri" w:hAnsi="Calibri"/>
          <w:b/>
          <w:color w:val="1A202C"/>
          <w:sz w:val="21"/>
        </w:rPr>
        <w:t xml:space="preserve">Phone Mode: </w:t>
      </w:r>
      <w:r>
        <w:rPr>
          <w:rFonts w:ascii="Calibri" w:hAnsi="Calibri"/>
          <w:color w:val="1A202C"/>
          <w:sz w:val="21"/>
        </w:rPr>
        <w:t>Phone (&lt;=640px): Line-item builder cards convert into stacked two-column form clusters; full-width modal action buttons.</w:t>
      </w:r>
    </w:p>
    <w:p>
      <w:pPr>
        <w:pStyle w:val="ListBullet"/>
        <w:spacing w:before="0" w:after="50" w:line="276" w:lineRule="auto"/>
      </w:pPr>
      <w:r>
        <w:rPr>
          <w:rFonts w:ascii="Calibri" w:hAnsi="Calibri"/>
          <w:b/>
          <w:color w:val="1A202C"/>
          <w:sz w:val="21"/>
        </w:rPr>
        <w:t xml:space="preserve">Print Mode: </w:t>
      </w:r>
      <w:r>
        <w:rPr>
          <w:rFonts w:ascii="Calibri" w:hAnsi="Calibri"/>
          <w:color w:val="1A202C"/>
          <w:sz w:val="21"/>
        </w:rPr>
        <w:t>Print (@media print): Completely hides sidebar, header buttons, action bars, and background colors; expands #invoiceSheet to 100% width; enforces page-break-inside: avoid on totals and signature blocks.</w:t>
      </w:r>
    </w:p>
    <w:tbl>
      <w:tblPr>
        <w:tblW w:type="auto" w:w="0"/>
        <w:jc w:val="center"/>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0"/>
      </w:tblGrid>
      <w:tr>
        <w:tc>
          <w:tcPr>
            <w:tcW w:type="dxa" w:w="9360"/>
            <w:shd w:val="clear" w:color="auto" w:fill="F8F9FA"/>
            <w:tcMar>
              <w:top w:w="120" w:type="dxa"/>
              <w:bottom w:w="120" w:type="dxa"/>
              <w:left w:w="160" w:type="dxa"/>
              <w:right w:w="160" w:type="dxa"/>
            </w:tcMar>
          </w:tcPr>
          <w:p>
            <w:pPr>
              <w:spacing w:before="0" w:after="0"/>
            </w:pPr>
            <w:r>
              <w:rPr>
                <w:rFonts w:ascii="Consolas" w:hAnsi="Consolas"/>
                <w:color w:val="2D3748"/>
                <w:sz w:val="18"/>
              </w:rPr>
              <w:t>/* Responsive Breakpoint: Mobile &amp; Tablet Viewports */</w:t>
              <w:br/>
              <w:t>@media (max-width: 880px){</w:t>
              <w:br/>
              <w:t xml:space="preserve">  .app-sidebar{</w:t>
              <w:br/>
              <w:t xml:space="preserve">    position: fixed;</w:t>
              <w:br/>
              <w:t xml:space="preserve">    left: 0; top: 0; bottom: 0;</w:t>
              <w:br/>
              <w:t xml:space="preserve">    width: 280px;</w:t>
              <w:br/>
              <w:t xml:space="preserve">    z-index: 1000;</w:t>
              <w:br/>
              <w:t xml:space="preserve">    transform: translateX(-100%);</w:t>
              <w:br/>
              <w:t xml:space="preserve">    transition: transform 0.25s cubic-bezier(0.16, 1, 0.3, 1);</w:t>
              <w:br/>
              <w:t xml:space="preserve">  }</w:t>
              <w:br/>
              <w:t xml:space="preserve">  .app-sidebar.open{</w:t>
              <w:br/>
              <w:t xml:space="preserve">    transform: translateX(0);</w:t>
              <w:br/>
              <w:t xml:space="preserve">  }</w:t>
              <w:br/>
              <w:t xml:space="preserve">  .sidebar-backdrop.show{</w:t>
              <w:br/>
              <w:t xml:space="preserve">    display: block;</w:t>
              <w:br/>
              <w:t xml:space="preserve">    opacity: 1;</w:t>
              <w:br/>
              <w:t xml:space="preserve">  }</w:t>
              <w:br/>
              <w:t xml:space="preserve">  .stat-grid{</w:t>
              <w:br/>
              <w:t xml:space="preserve">    grid-template-columns: repeat(2, 1fr) !important;</w:t>
              <w:br/>
              <w:t xml:space="preserve">  }</w:t>
              <w:br/>
              <w:t>}</w:t>
              <w:br/>
              <w:br/>
              <w:t>/* Print Optimization Stylesheet */</w:t>
              <w:br/>
              <w:t>@media print {</w:t>
              <w:br/>
              <w:t xml:space="preserve">  body { background: #fff !important; }</w:t>
              <w:br/>
              <w:t xml:space="preserve">  .app-sidebar, .preview-toolbar, .btn, .stat-grid { display: none !important; }</w:t>
              <w:br/>
              <w:t xml:space="preserve">  .app-main { margin: 0 !important; padding: 0 !important; }</w:t>
              <w:br/>
              <w:t xml:space="preserve">  .invoice-sheet {</w:t>
              <w:br/>
              <w:t xml:space="preserve">    box-shadow: none !important;</w:t>
              <w:br/>
              <w:t xml:space="preserve">    border: none !important;</w:t>
              <w:br/>
              <w:t xml:space="preserve">    width: 100% !important;</w:t>
              <w:br/>
              <w:t xml:space="preserve">    max-width: 100% !important;</w:t>
              <w:br/>
              <w:t xml:space="preserve">    page-break-inside: avoid;</w:t>
              <w:br/>
              <w:t xml:space="preserve">  }</w:t>
              <w:br/>
              <w:t>}</w:t>
            </w:r>
          </w:p>
        </w:tc>
      </w:tr>
    </w:tbl>
    <w:p>
      <w:pPr>
        <w:spacing w:before="60" w:after="120"/>
        <w:jc w:val="center"/>
      </w:pPr>
      <w:r>
        <w:rPr>
          <w:rFonts w:ascii="Calibri" w:hAnsi="Calibri"/>
          <w:i/>
          <w:color w:val="718096"/>
          <w:sz w:val="17"/>
        </w:rPr>
        <w:t>Listing: style.css — Responsive Mobile &amp; Print Stylesheet Rules</w:t>
      </w:r>
    </w:p>
    <w:p>
      <w:pPr>
        <w:spacing w:before="160" w:after="40"/>
        <w:jc w:val="center"/>
      </w:pPr>
    </w:p>
    <w:p>
      <w:r>
        <w:drawing>
          <wp:inline xmlns:a="http://schemas.openxmlformats.org/drawingml/2006/main" xmlns:pic="http://schemas.openxmlformats.org/drawingml/2006/picture">
            <wp:extent cx="5486400" cy="2929910"/>
            <wp:docPr id="1" name="Picture 1"/>
            <wp:cNvGraphicFramePr>
              <a:graphicFrameLocks noChangeAspect="1"/>
            </wp:cNvGraphicFramePr>
            <a:graphic>
              <a:graphicData uri="http://schemas.openxmlformats.org/drawingml/2006/picture">
                <pic:pic>
                  <pic:nvPicPr>
                    <pic:cNvPr id="0" name="10_component_ui_hierarchy.png"/>
                    <pic:cNvPicPr/>
                  </pic:nvPicPr>
                  <pic:blipFill>
                    <a:blip r:embed="rId11"/>
                    <a:stretch>
                      <a:fillRect/>
                    </a:stretch>
                  </pic:blipFill>
                  <pic:spPr>
                    <a:xfrm>
                      <a:off x="0" y="0"/>
                      <a:ext cx="5486400" cy="2929910"/>
                    </a:xfrm>
                    <a:prstGeom prst="rect"/>
                  </pic:spPr>
                </pic:pic>
              </a:graphicData>
            </a:graphic>
          </wp:inline>
        </w:drawing>
      </w:r>
    </w:p>
    <w:p>
      <w:pPr>
        <w:jc w:val="center"/>
      </w:pPr>
      <w:r>
        <w:rPr>
          <w:rFonts w:ascii="Calibri" w:hAnsi="Calibri"/>
          <w:i/>
          <w:color w:val="718096"/>
          <w:sz w:val="18"/>
        </w:rPr>
        <w:t>Figure: Ledgerly CSS Component &amp; Layout Architecture</w:t>
      </w:r>
    </w:p>
    <w:p/>
    <w:p>
      <w:pPr>
        <w:pStyle w:val="Heading2"/>
        <w:spacing w:before="200" w:after="60"/>
      </w:pPr>
      <w:r>
        <w:rPr>
          <w:rFonts w:ascii="Calibri" w:hAnsi="Calibri"/>
          <w:b/>
          <w:color w:val="2C3E50"/>
          <w:sz w:val="25"/>
        </w:rPr>
        <w:t>Experimental Validation &amp; Test Cases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Test ID</w:t>
            </w:r>
          </w:p>
        </w:tc>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Scenario / Feature Tested</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Input Data</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Expected Result</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Status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TC_CSS_01</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theme variable switching</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Set data-theme='dark' on &lt;html&gt;</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Background switches to #121815; text switches to #e6eae8</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TC_CSS_02</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mobile drawer toggle</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Click #sidebarToggleBtn on mobile</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Sidebar receives .open class and slides in smoothly</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TC_CSS_03</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KPI grid responsiveness</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Resize window to 600px width</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Stat grid reflows cleanly into 2 columns without clipping</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TC_CSS_04</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print preview layout</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 window.print() on preview</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Toolbar, sidebar, and buttons hidden; A4 sheet cleanly rendered</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TC_CSS_05</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touch-action on signature pad</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Inspect #sigPad CSS rules</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touch-action: none prevents viewport scrolling while signing</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bl>
    <w:p/>
    <w:p>
      <w:pPr>
        <w:pStyle w:val="Heading2"/>
        <w:spacing w:before="200" w:after="60"/>
      </w:pPr>
      <w:r>
        <w:rPr>
          <w:rFonts w:ascii="Calibri" w:hAnsi="Calibri"/>
          <w:b/>
          <w:color w:val="2C3E50"/>
          <w:sz w:val="25"/>
        </w:rPr>
        <w:t>Review &amp; Viva-Voce Questions with Solutions</w:t>
      </w:r>
    </w:p>
    <w:p>
      <w:pPr>
        <w:spacing w:before="0" w:after="90" w:line="276" w:lineRule="auto"/>
      </w:pPr>
      <w:r>
        <w:rPr>
          <w:rFonts w:ascii="Calibri" w:hAnsi="Calibri"/>
          <w:color w:val="1A202C"/>
          <w:sz w:val="21"/>
        </w:rPr>
        <w:t>The following technical review questions assess core understanding of software engineering principles, web runtime behavior, and architecture applied in this experiment:</w:t>
      </w:r>
    </w:p>
    <w:p>
      <w:pPr>
        <w:spacing w:before="120" w:after="40" w:line="276" w:lineRule="auto"/>
      </w:pPr>
      <w:r>
        <w:rPr>
          <w:rFonts w:ascii="Calibri" w:hAnsi="Calibri"/>
          <w:b/>
          <w:color w:val="1B4D4B"/>
          <w:sz w:val="21"/>
        </w:rPr>
        <w:t>Q1. What is the difference between CSS Flexbox and CSS Grid?</w:t>
      </w:r>
    </w:p>
    <w:p>
      <w:pPr>
        <w:spacing w:before="0" w:after="120" w:line="276" w:lineRule="auto"/>
      </w:pPr>
      <w:r>
        <w:rPr>
          <w:rFonts w:ascii="Calibri" w:hAnsi="Calibri"/>
          <w:b/>
          <w:color w:val="2C3E50"/>
          <w:sz w:val="20"/>
        </w:rPr>
        <w:t xml:space="preserve">Answer: </w:t>
      </w:r>
      <w:r>
        <w:rPr>
          <w:rFonts w:ascii="Calibri" w:hAnsi="Calibri"/>
          <w:color w:val="1A202C"/>
          <w:sz w:val="20"/>
        </w:rPr>
        <w:t>Flexbox is a one-dimensional layout model optimized for aligning items along either a row or a column (e.g., toolbars, navbars, item rows). CSS Grid is a two-dimensional layout model designed for complex column-and-row layouts simultaneously (e.g., metric KPI grids, enterprise sheets).</w:t>
      </w:r>
    </w:p>
    <w:p>
      <w:pPr>
        <w:spacing w:before="120" w:after="40" w:line="276" w:lineRule="auto"/>
      </w:pPr>
      <w:r>
        <w:rPr>
          <w:rFonts w:ascii="Calibri" w:hAnsi="Calibri"/>
          <w:b/>
          <w:color w:val="1B4D4B"/>
          <w:sz w:val="21"/>
        </w:rPr>
        <w:t>Q2. How do CSS Custom Properties differ from preprocessor variables (Sass/LESS)?</w:t>
      </w:r>
    </w:p>
    <w:p>
      <w:pPr>
        <w:spacing w:before="0" w:after="120" w:line="276" w:lineRule="auto"/>
      </w:pPr>
      <w:r>
        <w:rPr>
          <w:rFonts w:ascii="Calibri" w:hAnsi="Calibri"/>
          <w:b/>
          <w:color w:val="2C3E50"/>
          <w:sz w:val="20"/>
        </w:rPr>
        <w:t xml:space="preserve">Answer: </w:t>
      </w:r>
      <w:r>
        <w:rPr>
          <w:rFonts w:ascii="Calibri" w:hAnsi="Calibri"/>
          <w:color w:val="1A202C"/>
          <w:sz w:val="20"/>
        </w:rPr>
        <w:t>CSS Custom Properties are native, live, and reactive within the browser DOM. They cascade and inherit down the element tree and can be read or modified dynamically at runtime via JavaScript (e.g., theme toggles), whereas Sass variables compile into static values at build time.</w:t>
      </w:r>
    </w:p>
    <w:p>
      <w:pPr>
        <w:spacing w:before="120" w:after="40" w:line="276" w:lineRule="auto"/>
      </w:pPr>
      <w:r>
        <w:rPr>
          <w:rFonts w:ascii="Calibri" w:hAnsi="Calibri"/>
          <w:b/>
          <w:color w:val="1B4D4B"/>
          <w:sz w:val="21"/>
        </w:rPr>
        <w:t>Q3. What does the 'page-break-inside: avoid' property achieve during printing?</w:t>
      </w:r>
    </w:p>
    <w:p>
      <w:pPr>
        <w:spacing w:before="0" w:after="120" w:line="276" w:lineRule="auto"/>
      </w:pPr>
      <w:r>
        <w:rPr>
          <w:rFonts w:ascii="Calibri" w:hAnsi="Calibri"/>
          <w:b/>
          <w:color w:val="2C3E50"/>
          <w:sz w:val="20"/>
        </w:rPr>
        <w:t xml:space="preserve">Answer: </w:t>
      </w:r>
      <w:r>
        <w:rPr>
          <w:rFonts w:ascii="Calibri" w:hAnsi="Calibri"/>
          <w:color w:val="1A202C"/>
          <w:sz w:val="20"/>
        </w:rPr>
        <w:t>'page-break-inside: avoid' instructs the browser print renderer not to split a table, card, or signature block across two separate physical sheets of paper, ensuring clean and professional printed documents.</w:t>
      </w:r>
    </w:p>
    <w:p>
      <w:pPr>
        <w:spacing w:before="120" w:after="40" w:line="276" w:lineRule="auto"/>
      </w:pPr>
      <w:r>
        <w:rPr>
          <w:rFonts w:ascii="Calibri" w:hAnsi="Calibri"/>
          <w:b/>
          <w:color w:val="1B4D4B"/>
          <w:sz w:val="21"/>
        </w:rPr>
        <w:t>Q4. Why is 'touch-action: none' critical for canvas signature pads on mobile devices?</w:t>
      </w:r>
    </w:p>
    <w:p>
      <w:pPr>
        <w:spacing w:before="0" w:after="120" w:line="276" w:lineRule="auto"/>
      </w:pPr>
      <w:r>
        <w:rPr>
          <w:rFonts w:ascii="Calibri" w:hAnsi="Calibri"/>
          <w:b/>
          <w:color w:val="2C3E50"/>
          <w:sz w:val="20"/>
        </w:rPr>
        <w:t xml:space="preserve">Answer: </w:t>
      </w:r>
      <w:r>
        <w:rPr>
          <w:rFonts w:ascii="Calibri" w:hAnsi="Calibri"/>
          <w:color w:val="1A202C"/>
          <w:sz w:val="20"/>
        </w:rPr>
        <w:t>By default, touch events on mobile devices trigger viewport panning, pinch-to-zoom, and scrolling. Setting 'touch-action: none' instructs the browser engine to disable default gesture handling, delegating touch coordinates directly to JavaScript canvas event listeners.</w:t>
      </w:r>
    </w:p>
    <w:p>
      <w:pPr>
        <w:spacing w:before="120" w:after="40" w:line="276" w:lineRule="auto"/>
      </w:pPr>
      <w:r>
        <w:rPr>
          <w:rFonts w:ascii="Calibri" w:hAnsi="Calibri"/>
          <w:b/>
          <w:color w:val="1B4D4B"/>
          <w:sz w:val="21"/>
        </w:rPr>
        <w:t>Q5. Explain the purpose of the 'rem' unit in responsive typography.</w:t>
      </w:r>
    </w:p>
    <w:p>
      <w:pPr>
        <w:spacing w:before="0" w:after="120" w:line="276" w:lineRule="auto"/>
      </w:pPr>
      <w:r>
        <w:rPr>
          <w:rFonts w:ascii="Calibri" w:hAnsi="Calibri"/>
          <w:b/>
          <w:color w:val="2C3E50"/>
          <w:sz w:val="20"/>
        </w:rPr>
        <w:t xml:space="preserve">Answer: </w:t>
      </w:r>
      <w:r>
        <w:rPr>
          <w:rFonts w:ascii="Calibri" w:hAnsi="Calibri"/>
          <w:color w:val="1A202C"/>
          <w:sz w:val="20"/>
        </w:rPr>
        <w:t>The 'rem' (root em) unit is relative to the root &lt;html&gt; font-size (typically 16px). Using rem ensures that all typography scales proportionally if a user adjusts their browser default font size for accessibility, unlike hardcoded 'px' units.</w:t>
      </w:r>
    </w:p>
    <w:p>
      <w:pPr>
        <w:pStyle w:val="Heading2"/>
        <w:spacing w:before="200" w:after="60"/>
      </w:pPr>
      <w:r>
        <w:rPr>
          <w:rFonts w:ascii="Calibri" w:hAnsi="Calibri"/>
          <w:b/>
          <w:color w:val="2C3E50"/>
          <w:sz w:val="25"/>
        </w:rPr>
        <w:t>Conclusion &amp; Learning Outcomes</w:t>
      </w:r>
    </w:p>
    <w:p>
      <w:pPr>
        <w:spacing w:before="0" w:after="90" w:line="276" w:lineRule="auto"/>
      </w:pPr>
      <w:r>
        <w:rPr>
          <w:rFonts w:ascii="Calibri" w:hAnsi="Calibri"/>
          <w:color w:val="1A202C"/>
          <w:sz w:val="21"/>
        </w:rPr>
        <w:t>Experiment 4 implemented a robust, tokenized CSS3 styling architecture for Ledgerly. The combination of CSS custom properties, responsive breakpoints, mobile off-canvas navigation, and print stylesheets guarantees a polished user experience across all screen sizes and physical print media.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Project Case Study: Ledgerly PWA</w:t>
      <w:tab/>
      <w:tab/>
      <w:t>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Department of Computer Engineering  |  WDL Lab (CMPN Div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