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680"/>
        <w:gridCol w:w="4680"/>
      </w:tblGrid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NAME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Kimaya Teli</w:t>
              <w:br/>
              <w:t>Abhishek kumar Kairamkonda</w:t>
              <w:br/>
              <w:t>Krishna Somani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ROLL NO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24102C0079</w:t>
              <w:br/>
              <w:t>24102C0085</w:t>
              <w:br/>
              <w:t>24102C0067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BRANCH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CMPN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DIV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C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SUBJECT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WDL LAB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FACULTY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Dr. Ravindra Sangle</w:t>
            </w:r>
          </w:p>
        </w:tc>
      </w:tr>
    </w:tbl>
    <w:p/>
    <w:p>
      <w:pPr>
        <w:jc w:val="center"/>
      </w:pPr>
      <w:r>
        <w:rPr>
          <w:rFonts w:ascii="Calibri" w:hAnsi="Calibri"/>
          <w:b/>
          <w:color w:val="444444"/>
          <w:sz w:val="26"/>
        </w:rPr>
        <w:t>SOFTWARE ENGINEERING &amp; WEB DEVELOPMENT LAB MANUAL</w:t>
      </w:r>
    </w:p>
    <w:p>
      <w:pPr>
        <w:jc w:val="center"/>
      </w:pPr>
      <w:r>
        <w:rPr>
          <w:rFonts w:ascii="Calibri" w:hAnsi="Calibri"/>
          <w:i/>
          <w:color w:val="666666"/>
          <w:sz w:val="20"/>
        </w:rPr>
        <w:t>PROJECT CASE STUDY: LEDGERLY — INVOICE &amp; QUOTATION GENERATOR PWA</w:t>
      </w:r>
    </w:p>
    <w:p>
      <w:pPr>
        <w:pStyle w:val="Heading1"/>
        <w:spacing w:before="280" w:after="80"/>
        <w:jc w:val="left"/>
      </w:pPr>
      <w:r>
        <w:rPr>
          <w:rFonts w:ascii="Calibri" w:hAnsi="Calibri"/>
          <w:b/>
          <w:color w:val="1B4D4B"/>
          <w:sz w:val="30"/>
        </w:rPr>
        <w:t>Experiment No. 5: Prepare SRS (Software Requirements Specification) for the Project Topic</w:t>
      </w:r>
    </w:p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1. Aim &amp; Objectives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The aim of this experiment is to formulate a comprehensive, IEEE 830-compliant Software Requirements Specification (SRS) for the Ledgerly Invoice &amp; Quotation Management System.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Key Specific Objectives: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Functional Rigor: </w:t>
      </w:r>
      <w:r>
        <w:rPr>
          <w:rFonts w:ascii="Calibri" w:hAnsi="Calibri"/>
          <w:color w:val="1A202C"/>
          <w:sz w:val="21"/>
        </w:rPr>
        <w:t>Define exhaustive Functional Requirements (FR) covering user onboarding, invoice compilation, GST calculation, QR generation, and data portability.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Performance &amp; Security: </w:t>
      </w:r>
      <w:r>
        <w:rPr>
          <w:rFonts w:ascii="Calibri" w:hAnsi="Calibri"/>
          <w:color w:val="1A202C"/>
          <w:sz w:val="21"/>
        </w:rPr>
        <w:t>Specify quantifiable Non-Functional Requirements (NFR) spanning sub-10ms response times, 100% offline availability, and zero data leakage.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System Interfaces: </w:t>
      </w:r>
      <w:r>
        <w:rPr>
          <w:rFonts w:ascii="Calibri" w:hAnsi="Calibri"/>
          <w:color w:val="1A202C"/>
          <w:sz w:val="21"/>
        </w:rPr>
        <w:t>Establish external interface standards governing DOM user interactions, hardware canvas inputs, and print engine integration.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Data Schemas: </w:t>
      </w:r>
      <w:r>
        <w:rPr>
          <w:rFonts w:ascii="Calibri" w:hAnsi="Calibri"/>
          <w:color w:val="1A202C"/>
          <w:sz w:val="21"/>
        </w:rPr>
        <w:t>Construct data dictionaries and local database schemas modeling all financial entities.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2. Pre-Requisites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color w:val="1A202C"/>
          <w:sz w:val="21"/>
        </w:rPr>
        <w:t>IEEE 830-1998 Recommended Practice for Software Requirements Specifications.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color w:val="1A202C"/>
          <w:sz w:val="21"/>
        </w:rPr>
        <w:t>Requirements engineering methodologies: elicitation, specification, validation, and traceability matrices.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Hardware &amp; Software Requirements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120"/>
        <w:gridCol w:w="3120"/>
        <w:gridCol w:w="3120"/>
      </w:tblGrid>
      <w:tr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3168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Component / Specification</w:t>
            </w:r>
          </w:p>
        </w:tc>
        <w:tc>
          <w:tcPr>
            <w:tcW w:type="dxa" w:w="4032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Minimum Recommended Configuration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Hardware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Processor / CPU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Intel Core i5 / AMD Ryzen 5 or higher (minimum 2.0 GHz)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Hardware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System Memory (RAM)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8.0 GB RAM or higher recommended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Hardware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Storage / Disk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256 GB SSD (Minimum 500 MB free workspace space)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Hardware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Display / Resolution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1920 x 1080 Full HD (Responsive down to 360 x 640 mobile viewports)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Operating System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Windows 11 / 10 (64-bit) / Ubuntu Linux / macOS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Web Browser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Google Chrome (v110+), Mozilla Firefox (v115+), Microsoft Edge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Core Technologies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HTML5, Vanilla CSS3 (Custom Variables), ECMAScript 2022 (Pure Vanilla JS)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Runtime &amp; Tooling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Node.js LTS (v20+) for local asset bundling &amp; Python 3.10+ for automated testing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Testing Suite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Python unittest &amp; pytest automated testing harnesses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Version Control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Git v2.40+ &amp; GitHub Pages CI/CD deployment</w:t>
            </w:r>
          </w:p>
        </w:tc>
      </w:tr>
    </w:tbl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3. Section 1: Introduction (IEEE 830)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1.1 Purpose: This document provides the complete technical specification for Ledgerly Version 2.0. It defines the contractual software capabilities for developers, testers, and auditors.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1.2 Scope: Ledgerly is a client-side Progressive Web Application designed for micro-enterprises and freelancers to compile statutory GST invoices, track installment ledgers, capture signatures, and synthesize print-ready documents without cloud subscription lock-in.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1.3 Definitions, Acronyms, and Abbreviations: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GST: </w:t>
      </w:r>
      <w:r>
        <w:rPr>
          <w:rFonts w:ascii="Calibri" w:hAnsi="Calibri"/>
          <w:color w:val="1A202C"/>
          <w:sz w:val="21"/>
        </w:rPr>
        <w:t>Goods and Services Tax (Indian dual-structure taxation mechanism).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HSN/SAC: </w:t>
      </w:r>
      <w:r>
        <w:rPr>
          <w:rFonts w:ascii="Calibri" w:hAnsi="Calibri"/>
          <w:color w:val="1A202C"/>
          <w:sz w:val="21"/>
        </w:rPr>
        <w:t>Harmonized System of Nomenclature / Services Accounting Code.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UPI: </w:t>
      </w:r>
      <w:r>
        <w:rPr>
          <w:rFonts w:ascii="Calibri" w:hAnsi="Calibri"/>
          <w:color w:val="1A202C"/>
          <w:sz w:val="21"/>
        </w:rPr>
        <w:t>Unified Payments Interface (National Payments Corporation of India instant settlement network).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PWA: </w:t>
      </w:r>
      <w:r>
        <w:rPr>
          <w:rFonts w:ascii="Calibri" w:hAnsi="Calibri"/>
          <w:color w:val="1A202C"/>
          <w:sz w:val="21"/>
        </w:rPr>
        <w:t>Progressive Web Application (Standards-based web app operating offline).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RCM: </w:t>
      </w:r>
      <w:r>
        <w:rPr>
          <w:rFonts w:ascii="Calibri" w:hAnsi="Calibri"/>
          <w:color w:val="1A202C"/>
          <w:sz w:val="21"/>
        </w:rPr>
        <w:t>Reverse Charge Mechanism (Tax liability shifts from supplier to recipient).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4. Section 2: Overall System Description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2.1 Product Perspective: Ledgerly functions as an autonomous, self-contained client-side application. It utilizes local browser storage (localStorage, CacheStorage) and client graphics APIs (Canvas, DOM PDF renderer) to deliver immediate response times without round-trip network delays.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2.2 User Characteristics: The target user ranges from solo freelancers with zero accounting background to SME accounts managers managing multi-client B2B ledgers.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2.3 Operating Constraints: Must execute on any modern W3C-compliant browser; must maintain zero server-side telemetry or financial data transmission.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5196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ntity_relationship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718096"/>
          <w:sz w:val="18"/>
        </w:rPr>
        <w:t>Figure: Entity-Relationship Diagram for Financial Data Models</w:t>
      </w:r>
    </w:p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5. Section 3: Functional Requirements (FR)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Req ID</w:t>
            </w:r>
          </w:p>
        </w:tc>
        <w:tc>
          <w:tcPr>
            <w:tcW w:type="dxa" w:w="3168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Functional Requirement</w:t>
            </w:r>
          </w:p>
        </w:tc>
        <w:tc>
          <w:tcPr>
            <w:tcW w:type="dxa" w:w="4752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Detailed Technical Specification</w:t>
            </w:r>
          </w:p>
        </w:tc>
      </w:tr>
      <w:tr>
        <w:tc>
          <w:tcPr>
            <w:tcW w:type="dxa" w:w="144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FR-01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Enterprise Profile Management</w:t>
            </w:r>
          </w:p>
        </w:tc>
        <w:tc>
          <w:tcPr>
            <w:tcW w:type="dxa" w:w="475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User shall configure enterprise name, address, phone, GSTIN, default tax rate, bank details, and upload custom business logo stored as base64.</w:t>
            </w:r>
          </w:p>
        </w:tc>
      </w:tr>
      <w:tr>
        <w:tc>
          <w:tcPr>
            <w:tcW w:type="dxa" w:w="144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FR-02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Customer Directory Management</w:t>
            </w:r>
          </w:p>
        </w:tc>
        <w:tc>
          <w:tcPr>
            <w:tcW w:type="dxa" w:w="475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System shall maintain customer profiles with company name, contact person, email, billing address, and 15-character GSTIN identifier.</w:t>
            </w:r>
          </w:p>
        </w:tc>
      </w:tr>
      <w:tr>
        <w:tc>
          <w:tcPr>
            <w:tcW w:type="dxa" w:w="144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FR-03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Catalog Item Management</w:t>
            </w:r>
          </w:p>
        </w:tc>
        <w:tc>
          <w:tcPr>
            <w:tcW w:type="dxa" w:w="475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System shall store reusable inventory items with SKU/Name, description, default HSN/SAC code, unit price, and pre-configured GST rate.</w:t>
            </w:r>
          </w:p>
        </w:tc>
      </w:tr>
      <w:tr>
        <w:tc>
          <w:tcPr>
            <w:tcW w:type="dxa" w:w="144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FR-04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Dynamic Line-Item Builder</w:t>
            </w:r>
          </w:p>
        </w:tc>
        <w:tc>
          <w:tcPr>
            <w:tcW w:type="dxa" w:w="475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User can add, reorder, and delete invoice rows; system dynamically computes line totals (Qty x Price) and updates global subtotal in real-time.</w:t>
            </w:r>
          </w:p>
        </w:tc>
      </w:tr>
      <w:tr>
        <w:tc>
          <w:tcPr>
            <w:tcW w:type="dxa" w:w="144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FR-05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Dual GST Calculation Engine</w:t>
            </w:r>
          </w:p>
        </w:tc>
        <w:tc>
          <w:tcPr>
            <w:tcW w:type="dxa" w:w="475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System automatically splits tax into CGST (tax/2) and SGST (tax/2) for intra-state supply, or applies full tax as IGST for inter-state transactions.</w:t>
            </w:r>
          </w:p>
        </w:tc>
      </w:tr>
      <w:tr>
        <w:tc>
          <w:tcPr>
            <w:tcW w:type="dxa" w:w="144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FR-06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HSN/SAC Summary Matrix</w:t>
            </w:r>
          </w:p>
        </w:tc>
        <w:tc>
          <w:tcPr>
            <w:tcW w:type="dxa" w:w="475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System aggregates items by distinct HSN/SAC codes and renders a statutory tax summary table showing taxable values and tax splits.</w:t>
            </w:r>
          </w:p>
        </w:tc>
      </w:tr>
      <w:tr>
        <w:tc>
          <w:tcPr>
            <w:tcW w:type="dxa" w:w="144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FR-07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Partial Payment Ledger</w:t>
            </w:r>
          </w:p>
        </w:tc>
        <w:tc>
          <w:tcPr>
            <w:tcW w:type="dxa" w:w="475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User can record installment payments with date, method, transaction ref (UTR), and notes; system dynamically computes balance due.</w:t>
            </w:r>
          </w:p>
        </w:tc>
      </w:tr>
      <w:tr>
        <w:tc>
          <w:tcPr>
            <w:tcW w:type="dxa" w:w="144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FR-08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Dynamic UPI QR Code Generator</w:t>
            </w:r>
          </w:p>
        </w:tc>
        <w:tc>
          <w:tcPr>
            <w:tcW w:type="dxa" w:w="475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System generates a base64 UPI payment QR code (upi://pay?pa=...&amp;am=...) synchronously offline via local canvas without third-party APIs.</w:t>
            </w:r>
          </w:p>
        </w:tc>
      </w:tr>
      <w:tr>
        <w:tc>
          <w:tcPr>
            <w:tcW w:type="dxa" w:w="144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FR-09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HTML5 Canvas Digital Signature</w:t>
            </w:r>
          </w:p>
        </w:tc>
        <w:tc>
          <w:tcPr>
            <w:tcW w:type="dxa" w:w="475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User can draw authorized signatures using touch or mouse; system normalizes coordinates and saves signature as embedded base64 data.</w:t>
            </w:r>
          </w:p>
        </w:tc>
      </w:tr>
      <w:tr>
        <w:tc>
          <w:tcPr>
            <w:tcW w:type="dxa" w:w="144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FR-10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Auto-Save Draft Recovery</w:t>
            </w:r>
          </w:p>
        </w:tc>
        <w:tc>
          <w:tcPr>
            <w:tcW w:type="dxa" w:w="475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Builder state continuously buffers to localStorage; system prompts users to restore uncommitted drafts upon accidental refresh.</w:t>
            </w:r>
          </w:p>
        </w:tc>
      </w:tr>
      <w:tr>
        <w:tc>
          <w:tcPr>
            <w:tcW w:type="dxa" w:w="144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FR-11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Client-Side PDF Synthesis</w:t>
            </w:r>
          </w:p>
        </w:tc>
        <w:tc>
          <w:tcPr>
            <w:tcW w:type="dxa" w:w="475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System renders high-fidelity A4 printable PDF documents using DOM print engines and CSS print rules without third-party servers.</w:t>
            </w:r>
          </w:p>
        </w:tc>
      </w:tr>
      <w:tr>
        <w:tc>
          <w:tcPr>
            <w:tcW w:type="dxa" w:w="144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FR-12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Data Portability &amp; Backup</w:t>
            </w:r>
          </w:p>
        </w:tc>
        <w:tc>
          <w:tcPr>
            <w:tcW w:type="dxa" w:w="475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User can export entire invoice ledger and customer records to structured CSV or JSON files, and restore backups seamlessly.</w:t>
            </w:r>
          </w:p>
        </w:tc>
      </w:tr>
    </w:tbl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6. Section 4: Non-Functional Requirements (NFR)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120"/>
        <w:gridCol w:w="3120"/>
        <w:gridCol w:w="3120"/>
      </w:tblGrid>
      <w:tr>
        <w:tc>
          <w:tcPr>
            <w:tcW w:type="dxa" w:w="2592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NFR ID &amp; Category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4608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Standard</w:t>
            </w:r>
          </w:p>
        </w:tc>
      </w:tr>
      <w:tr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NFR-01: Performance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Response Time</w:t>
            </w:r>
          </w:p>
        </w:tc>
        <w:tc>
          <w:tcPr>
            <w:tcW w:type="dxa" w:w="460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All UI interactions, tax recalculations, and route transitions shall execute in under 15 milliseconds.</w:t>
            </w:r>
          </w:p>
        </w:tc>
      </w:tr>
      <w:tr>
        <w:tc>
          <w:tcPr>
            <w:tcW w:type="dxa" w:w="259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NFR-02: Availability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Offline Capability</w:t>
            </w:r>
          </w:p>
        </w:tc>
        <w:tc>
          <w:tcPr>
            <w:tcW w:type="dxa" w:w="460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Application shell and core invoicing tools shall achieve 100% availability offline via Service Worker caching.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NFR-03: Security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Data Confidentiality</w:t>
            </w:r>
          </w:p>
        </w:tc>
        <w:tc>
          <w:tcPr>
            <w:tcW w:type="dxa" w:w="460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Financial records, client contacts, and signatures shall never be transmitted to external servers or remote telemetry sinks.</w:t>
            </w:r>
          </w:p>
        </w:tc>
      </w:tr>
      <w:tr>
        <w:tc>
          <w:tcPr>
            <w:tcW w:type="dxa" w:w="259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NFR-04: Portability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Browser Support</w:t>
            </w:r>
          </w:p>
        </w:tc>
        <w:tc>
          <w:tcPr>
            <w:tcW w:type="dxa" w:w="460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Application shall render uniformly across Chrome 100+, Firefox 110+, Safari 16+, Edge 100+, and mobile Android/iOS browsers.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NFR-05: Usability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Zero-Training UI</w:t>
            </w:r>
          </w:p>
        </w:tc>
        <w:tc>
          <w:tcPr>
            <w:tcW w:type="dxa" w:w="460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Interface shall adhere to modern design tokens, intuitive modals, auto-saving forms, and provide keyboard shortcuts (Ctrl+S, Ctrl+P).</w:t>
            </w:r>
          </w:p>
        </w:tc>
      </w:tr>
    </w:tbl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Experimental Validation &amp; Test Cases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44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92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Scenario / Feature Tested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Input Data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008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44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TC_SRS_01</w:t>
            </w:r>
          </w:p>
        </w:tc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Verify FR-05 GST Split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Intra-state invoice with 18% tax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CGST=9% and SGST=9% computed accurately</w:t>
            </w:r>
          </w:p>
        </w:tc>
        <w:tc>
          <w:tcPr>
            <w:tcW w:type="dxa" w:w="100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144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TC_SRS_02</w:t>
            </w:r>
          </w:p>
        </w:tc>
        <w:tc>
          <w:tcPr>
            <w:tcW w:type="dxa" w:w="259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Verify FR-08 Offline QR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Generate invoice without internet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QR code renders locally as base64 data URI</w:t>
            </w:r>
          </w:p>
        </w:tc>
        <w:tc>
          <w:tcPr>
            <w:tcW w:type="dxa" w:w="100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144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TC_SRS_03</w:t>
            </w:r>
          </w:p>
        </w:tc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Verify FR-10 Draft Recovery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Close builder tab mid-draft; reopen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Draft recovery banner appears offering instant restoration</w:t>
            </w:r>
          </w:p>
        </w:tc>
        <w:tc>
          <w:tcPr>
            <w:tcW w:type="dxa" w:w="100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144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TC_SRS_04</w:t>
            </w:r>
          </w:p>
        </w:tc>
        <w:tc>
          <w:tcPr>
            <w:tcW w:type="dxa" w:w="259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Verify NFR-01 Response Time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Modify item qty with 20 line items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Totals recalculate in under 5ms without frame drop</w:t>
            </w:r>
          </w:p>
        </w:tc>
        <w:tc>
          <w:tcPr>
            <w:tcW w:type="dxa" w:w="100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144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TC_SRS_05</w:t>
            </w:r>
          </w:p>
        </w:tc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Verify FR-12 CSV Export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Click Export CSV in History view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Generates and downloads valid UTF-8 CSV sales register</w:t>
            </w:r>
          </w:p>
        </w:tc>
        <w:tc>
          <w:tcPr>
            <w:tcW w:type="dxa" w:w="100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</w:tbl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Review &amp; Viva-Voce Questions with Solutions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The following technical review questions assess core understanding of software engineering principles, web runtime behavior, and architecture applied in this experiment: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Q1. What is the primary objective of the IEEE 830 standard?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IEEE 830 establishes a recognized standard for structuring Software Requirements Specifications. It ensures requirements are complete, unambiguous, verifiable, consistent, modifiable, and traceable throughout development.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Q2. What makes a requirement 'verifiable' or 'testable'?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A requirement is verifiable if there exists a deterministic, cost-effective process by which a person or automated test harness can prove that the software product meets the specified criterion (e.g., 'recalculates in &lt;15ms' is verifiable; 'system must be fast' is not).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Q3. How does Ledgerly satisfy the 'Zero Server Telemetry' Non-Functional Requirement?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Ledgerly is implemented exclusively using static HTML, CSS, and Vanilla JS. It makes zero outbound fetch() or XMLHttpRequest calls to tracking endpoints; all database CRUD operations execute directly against the browser's localStorage key-value store.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Q4. Explain the concept of Requirements Traceability.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Traceability is the ability to link requirements from their origin in the problem statement through architectural design, implementation code, and test cases. Ledgerly maps each FR (e.g., FR-05) to specific test cases (e.g., test_tc_hsn_01).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Q5. What is the difference between Functional and Non-Functional Requirements?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Functional Requirements specify WHAT the system must do (e.g., calculate tax, export PDF, record payment). Non-Functional Requirements specify HOW the system must perform its functions (e.g., performance latency, security, usability, browser compatibility).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Conclusion &amp; Learning Outcomes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Experiment 5 produced an exhaustive, IEEE 830-compliant Software Requirements Specification for Ledgerly. Defining 12 granular functional requirements and 5 quantifiable non-functional constraints ensures clear architectural governance and rigorous testability across all project phases.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both"/>
    </w:pPr>
    <w:r>
      <w:rPr>
        <w:rFonts w:ascii="Calibri" w:hAnsi="Calibri"/>
        <w:color w:val="718096"/>
        <w:sz w:val="17"/>
      </w:rPr>
      <w:t>Project Case Study: Ledgerly PWA</w:t>
      <w:tab/>
      <w:tab/>
      <w:t>Academic Year 2026-27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718096"/>
        <w:sz w:val="17"/>
      </w:rPr>
      <w:t>Department of Computer Engineering  |  WDL Lab (CMPN Div C)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