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680"/>
        <w:gridCol w:w="4680"/>
      </w:tblGrid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NAME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Kimaya Teli</w:t>
              <w:br/>
              <w:t>Abhishek kumar Kairamkonda</w:t>
              <w:br/>
              <w:t>Krishna Somani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ROLL NO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24102C0079</w:t>
              <w:br/>
              <w:t>24102C0085</w:t>
              <w:br/>
              <w:t>24102C0067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BRANCH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CMPN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DIV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SUBJECT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WDL LAB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FACULTY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Dr. Ravindra Sangle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444444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666666"/>
          <w:sz w:val="20"/>
        </w:rPr>
        <w:t>PROJECT CASE STUDY: LEDGERLY — INVOICE &amp; QUOTATION GENERATOR PWA</w:t>
      </w:r>
    </w:p>
    <w:p>
      <w:pPr>
        <w:pStyle w:val="Heading1"/>
        <w:spacing w:before="280" w:after="80"/>
        <w:jc w:val="left"/>
      </w:pPr>
      <w:r>
        <w:rPr>
          <w:rFonts w:ascii="Calibri" w:hAnsi="Calibri"/>
          <w:b/>
          <w:color w:val="1B4D4B"/>
          <w:sz w:val="30"/>
        </w:rPr>
        <w:t>Experiment No. 6: Prepare DFD - Data Flow Diagram for the Project Topic</w:t>
      </w:r>
    </w:p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1. Aim &amp; Objectives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objective of this experiment is to model the functional data transformation pipelines of the Ledgerly Invoicing Engine using multi-level Data Flow Diagrams (DFD) and a comprehensive Data Dictionary.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Key Specific Objectives: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Context Modeling: </w:t>
      </w:r>
      <w:r>
        <w:rPr>
          <w:rFonts w:ascii="Calibri" w:hAnsi="Calibri"/>
          <w:color w:val="1A202C"/>
          <w:sz w:val="21"/>
        </w:rPr>
        <w:t>Construct a Level 0 Context Diagram defining global system boundaries and external entity interactions.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Functional Decomposition: </w:t>
      </w:r>
      <w:r>
        <w:rPr>
          <w:rFonts w:ascii="Calibri" w:hAnsi="Calibri"/>
          <w:color w:val="1A202C"/>
          <w:sz w:val="21"/>
        </w:rPr>
        <w:t>Decompose the system into a Level 1 DFD isolating authentication, customer directory, catalog, invoicing, payment settlement, and reporting processes.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Process Detail: </w:t>
      </w:r>
      <w:r>
        <w:rPr>
          <w:rFonts w:ascii="Calibri" w:hAnsi="Calibri"/>
          <w:color w:val="1A202C"/>
          <w:sz w:val="21"/>
        </w:rPr>
        <w:t>Construct a Level 2 DFD for the core Invoice Engine detailing subtotal computation, HSN tax breakdowns, offline QR synthesis, and local storage buffer writes.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Data Dictionary: </w:t>
      </w:r>
      <w:r>
        <w:rPr>
          <w:rFonts w:ascii="Calibri" w:hAnsi="Calibri"/>
          <w:color w:val="1A202C"/>
          <w:sz w:val="21"/>
        </w:rPr>
        <w:t>Define a formal Data Dictionary cataloging all data flows and persistent data stores.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2. Pre-Requisites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color w:val="1A202C"/>
          <w:sz w:val="21"/>
        </w:rPr>
        <w:t>Principles of Structured Systems Analysis and Design (SSAD).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color w:val="1A202C"/>
          <w:sz w:val="21"/>
        </w:rPr>
        <w:t>DFD notation standards (Yourdon &amp; Coad / Gane &amp; Sarson): External Entities, Processes, Data Flows, and Data Stores.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color w:val="1A202C"/>
          <w:sz w:val="21"/>
        </w:rPr>
        <w:t>Rules of DFD balancing and conservation of data across hierarchical levels.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Hardware &amp; Software Requirements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20"/>
        <w:gridCol w:w="3120"/>
        <w:gridCol w:w="3120"/>
      </w:tblGrid>
      <w:tr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6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Component / Specification</w:t>
            </w:r>
          </w:p>
        </w:tc>
        <w:tc>
          <w:tcPr>
            <w:tcW w:type="dxa" w:w="403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Minimum Recommended Configuration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Processor / CPU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Intel Core i5 / AMD Ryzen 5 or higher (minimum 2.0 GHz)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System Memory (RAM)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8.0 GB RAM or higher recommended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Storage / Disk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256 GB SSD (Minimum 500 MB free workspace space)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Hardware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Display / Resolution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1920 x 1080 Full HD (Responsive down to 360 x 640 mobile viewports)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Operating System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Windows 11 / 10 (64-bit) / Ubuntu Linux / macOS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Web Browser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Google Chrome (v110+), Mozilla Firefox (v115+), Microsoft Edge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Core Technologies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HTML5, Vanilla CSS3 (Custom Variables), ECMAScript 2022 (Pure Vanilla JS)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Runtime &amp; Tooling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Node.js LTS (v20+) for local asset bundling &amp; Python 3.10+ for automated testing</w:t>
            </w:r>
          </w:p>
        </w:tc>
      </w:tr>
      <w:tr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Testing Suite</w:t>
            </w:r>
          </w:p>
        </w:tc>
        <w:tc>
          <w:tcPr>
            <w:tcW w:type="dxa" w:w="403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Python unittest &amp; pytest automated testing harnesses</w:t>
            </w:r>
          </w:p>
        </w:tc>
      </w:tr>
      <w:tr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Software / Runtime</w:t>
            </w:r>
          </w:p>
        </w:tc>
        <w:tc>
          <w:tcPr>
            <w:tcW w:type="dxa" w:w="316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Version Control</w:t>
            </w:r>
          </w:p>
        </w:tc>
        <w:tc>
          <w:tcPr>
            <w:tcW w:type="dxa" w:w="403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Git v2.40+ &amp; GitHub Pages CI/CD deployment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3. Theoretical Foundation &amp; DFD Conventions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A Data Flow Diagram (DFD) visually maps how information moves through a software system, the transformations applied by processes, and the locations where data resides. Unlike flowcharts that model sequential control logic, DFDs model data movement and transformation.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Core DFD Rules Enforced in Ledgerly: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Process Balance: </w:t>
      </w:r>
      <w:r>
        <w:rPr>
          <w:rFonts w:ascii="Calibri" w:hAnsi="Calibri"/>
          <w:color w:val="1A202C"/>
          <w:sz w:val="21"/>
        </w:rPr>
        <w:t>Processes must have at least one input data flow and at least one output data flow (avoiding 'Black Hole' and 'Miracle' errors).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Data Movement: </w:t>
      </w:r>
      <w:r>
        <w:rPr>
          <w:rFonts w:ascii="Calibri" w:hAnsi="Calibri"/>
          <w:color w:val="1A202C"/>
          <w:sz w:val="21"/>
        </w:rPr>
        <w:t>Data cannot flow directly between two external entities or two static data stores without passing through an active process.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Conservation: </w:t>
      </w:r>
      <w:r>
        <w:rPr>
          <w:rFonts w:ascii="Calibri" w:hAnsi="Calibri"/>
          <w:color w:val="1A202C"/>
          <w:sz w:val="21"/>
        </w:rPr>
        <w:t>All inputs and outputs present in a parent DFD process must be strictly conserved in child sub-processes (Hierarchical Balancing).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4. Comprehensive Data Dictionary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Data Element / Identifier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Classification</w:t>
            </w:r>
          </w:p>
        </w:tc>
        <w:tc>
          <w:tcPr>
            <w:tcW w:type="dxa" w:w="460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Schema Definition &amp; Functional Role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D1: ig_users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Data Store</w:t>
            </w:r>
          </w:p>
        </w:tc>
        <w:tc>
          <w:tcPr>
            <w:tcW w:type="dxa" w:w="46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Local user credentials, enterprise business name, GSTIN, phone, address, and logo base64.</w:t>
            </w:r>
          </w:p>
        </w:tc>
      </w:tr>
      <w:tr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D2: ig_customers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Data Store</w:t>
            </w:r>
          </w:p>
        </w:tc>
        <w:tc>
          <w:tcPr>
            <w:tcW w:type="dxa" w:w="46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Customer directory records (Customer ID, Name, Contact Person, Email, Phone, Address, GSTIN).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D3: ig_items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Data Store</w:t>
            </w:r>
          </w:p>
        </w:tc>
        <w:tc>
          <w:tcPr>
            <w:tcW w:type="dxa" w:w="46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Product &amp; service catalog items (SKU, Name, Description, HSN/SAC, Unit, Price, Tax Rate).</w:t>
            </w:r>
          </w:p>
        </w:tc>
      </w:tr>
      <w:tr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D4: ig_invoices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Data Store</w:t>
            </w:r>
          </w:p>
        </w:tc>
        <w:tc>
          <w:tcPr>
            <w:tcW w:type="dxa" w:w="46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Complete document records (Invoice Number, Type, Dates, Items array, Totals, Payments array, Signature).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D5: ig_expenses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Data Store</w:t>
            </w:r>
          </w:p>
        </w:tc>
        <w:tc>
          <w:tcPr>
            <w:tcW w:type="dxa" w:w="46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Operational expense records (Category, Vendor, Date, Payment Method, Amount, Ref No).</w:t>
            </w:r>
          </w:p>
        </w:tc>
      </w:tr>
      <w:tr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DF_Raw_Item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Data Flow</w:t>
            </w:r>
          </w:p>
        </w:tc>
        <w:tc>
          <w:tcPr>
            <w:tcW w:type="dxa" w:w="46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Line item input: { name, hsn, qty, price, taxPct, unit } flowing from UI into Line-Item Builder.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DF_Tax_Matrix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Data Flow</w:t>
            </w:r>
          </w:p>
        </w:tc>
        <w:tc>
          <w:tcPr>
            <w:tcW w:type="dxa" w:w="46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Calculated tax schedule: { taxableAmount, cgst, sgst, igst, totalTax, roundOff } flowing into Preview Sheet.</w:t>
            </w:r>
          </w:p>
        </w:tc>
      </w:tr>
      <w:tr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DF_Settlement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Data Flow</w:t>
            </w:r>
          </w:p>
        </w:tc>
        <w:tc>
          <w:tcPr>
            <w:tcW w:type="dxa" w:w="46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Payment installment: { amount, date, method, transactionRef, notes } flowing into Payment Ledger.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5. DFD Level 0: Context Diagram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Level 0 Context Diagram establishes the boundary between Ledgerly and external entities: the Business Owner / Admin and the Client / End-Payer.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Admin Interaction: </w:t>
      </w:r>
      <w:r>
        <w:rPr>
          <w:rFonts w:ascii="Calibri" w:hAnsi="Calibri"/>
          <w:color w:val="1A202C"/>
          <w:sz w:val="21"/>
        </w:rPr>
        <w:t>Business Owner supplies enterprise credentials, customer details, line items, and payment status updates; receives sales metrics, document previews, and backup exports.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Client Interaction: </w:t>
      </w:r>
      <w:r>
        <w:rPr>
          <w:rFonts w:ascii="Calibri" w:hAnsi="Calibri"/>
          <w:color w:val="1A202C"/>
          <w:sz w:val="21"/>
        </w:rPr>
        <w:t>Client / End-Payer receives print-ready tax invoices, quotation estimates, and UPI payment QR codes.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fd_level_0_context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718096"/>
          <w:sz w:val="18"/>
        </w:rPr>
        <w:t>Figure: DFD Level 0: Context Diagram — Ledgerly Invoicing Engine</w:t>
      </w:r>
    </w:p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6. DFD Level 1: Functional Decomposition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Level 1 DFD decomposes the system into six distinct functional processes: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1.0 Auth: </w:t>
      </w:r>
      <w:r>
        <w:rPr>
          <w:rFonts w:ascii="Calibri" w:hAnsi="Calibri"/>
          <w:color w:val="1A202C"/>
          <w:sz w:val="21"/>
        </w:rPr>
        <w:t>Process 1.0: User Authentication &amp; Session Manager (handles login, registration, and active session caching).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2.0 Customer: </w:t>
      </w:r>
      <w:r>
        <w:rPr>
          <w:rFonts w:ascii="Calibri" w:hAnsi="Calibri"/>
          <w:color w:val="1A202C"/>
          <w:sz w:val="21"/>
        </w:rPr>
        <w:t>Process 2.0: Customer Directory &amp; Profile Manager (handles client CRUD and account statement aggregation).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3.0 Catalog: </w:t>
      </w:r>
      <w:r>
        <w:rPr>
          <w:rFonts w:ascii="Calibri" w:hAnsi="Calibri"/>
          <w:color w:val="1A202C"/>
          <w:sz w:val="21"/>
        </w:rPr>
        <w:t>Process 3.0: Item Catalog &amp; Pricing Manager (manages reusable products, default HSN codes, and tax rates).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4.0 Invoice: </w:t>
      </w:r>
      <w:r>
        <w:rPr>
          <w:rFonts w:ascii="Calibri" w:hAnsi="Calibri"/>
          <w:color w:val="1A202C"/>
          <w:sz w:val="21"/>
        </w:rPr>
        <w:t>Process 4.0: Invoicing &amp; Document Engine (coordinates builder math, tax splits, signature embedding, and document compilation).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5.0 Ledger: </w:t>
      </w:r>
      <w:r>
        <w:rPr>
          <w:rFonts w:ascii="Calibri" w:hAnsi="Calibri"/>
          <w:color w:val="1A202C"/>
          <w:sz w:val="21"/>
        </w:rPr>
        <w:t>Process 5.0: Payment Settlement &amp; Ledger Manager (records partial installments and calculates remaining balances).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6.0 Reports: </w:t>
      </w:r>
      <w:r>
        <w:rPr>
          <w:rFonts w:ascii="Calibri" w:hAnsi="Calibri"/>
          <w:color w:val="1A202C"/>
          <w:sz w:val="21"/>
        </w:rPr>
        <w:t>Process 6.0: Financial Reporting &amp; Data Portability (aggregates KPIs, generates sales registers, and CSV/JSON backups).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4087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fd_level_1_decomposi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7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718096"/>
          <w:sz w:val="18"/>
        </w:rPr>
        <w:t>Figure: DFD Level 1: Functional Decomposition — 6 Core Subsystems</w:t>
      </w:r>
    </w:p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7. DFD Level 2: Core Invoicing Pipeline (Sub-Process 4.0)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Process 4.0 is further decomposed into four granular operational transformations: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4.1 Discount: </w:t>
      </w:r>
      <w:r>
        <w:rPr>
          <w:rFonts w:ascii="Calibri" w:hAnsi="Calibri"/>
          <w:color w:val="1A202C"/>
          <w:sz w:val="21"/>
        </w:rPr>
        <w:t>Process 4.1: Subtotal &amp; Discount Computer (calculates gross line amounts and applies flat or percentage discounts).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4.2 Tax Split: </w:t>
      </w:r>
      <w:r>
        <w:rPr>
          <w:rFonts w:ascii="Calibri" w:hAnsi="Calibri"/>
          <w:color w:val="1A202C"/>
          <w:sz w:val="21"/>
        </w:rPr>
        <w:t>Process 4.2: GST &amp; HSN Tax Calculator (evaluates inter-state flag, computes CGST/SGST or IGST, and groups HSN summaries).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4.3 Media: </w:t>
      </w:r>
      <w:r>
        <w:rPr>
          <w:rFonts w:ascii="Calibri" w:hAnsi="Calibri"/>
          <w:color w:val="1A202C"/>
          <w:sz w:val="21"/>
        </w:rPr>
        <w:t>Process 4.3: Digital Signature &amp; Offline QR Synthesizer (converts canvas strokes to base64 and encodes UPI payload into offline QR).</w:t>
      </w:r>
    </w:p>
    <w:p>
      <w:pPr>
        <w:pStyle w:val="ListBullet"/>
        <w:spacing w:before="0" w:after="50" w:line="276" w:lineRule="auto"/>
      </w:pPr>
      <w:r>
        <w:rPr>
          <w:rFonts w:ascii="Calibri" w:hAnsi="Calibri"/>
          <w:b/>
          <w:color w:val="1A202C"/>
          <w:sz w:val="21"/>
        </w:rPr>
        <w:t xml:space="preserve">4.4 Storage: </w:t>
      </w:r>
      <w:r>
        <w:rPr>
          <w:rFonts w:ascii="Calibri" w:hAnsi="Calibri"/>
          <w:color w:val="1A202C"/>
          <w:sz w:val="21"/>
        </w:rPr>
        <w:t>Process 4.4: Document Persistence &amp; Buffer Writer (writes finalized invoice record into D4 and clears auto-save draft).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88201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fd_level_2_invoice_and_pay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820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718096"/>
          <w:sz w:val="18"/>
        </w:rPr>
        <w:t>Figure: DFD Level 2: Invoicing Pipeline — Sub-Process 4.0 Decomposition</w:t>
      </w:r>
    </w:p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Experimental Validation &amp; Test Cases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44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Test ID</w:t>
            </w:r>
          </w:p>
        </w:tc>
        <w:tc>
          <w:tcPr>
            <w:tcW w:type="dxa" w:w="2592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Scenario / Feature Tested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Input Data</w:t>
            </w:r>
          </w:p>
        </w:tc>
        <w:tc>
          <w:tcPr>
            <w:tcW w:type="dxa" w:w="2160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008"/>
            <w:shd w:val="clear" w:color="auto" w:fill="1B4D4B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TC_DFD_01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Level 0 data conservation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Inspect Context Diagram inputs/outputs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All external data flows match Level 1 boundary flows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TC_DFD_02</w:t>
            </w:r>
          </w:p>
        </w:tc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Data Store D4 write access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Save newly drafted invoice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Process 4.4 successfully updates D4: ig_invoices</w:t>
            </w:r>
          </w:p>
        </w:tc>
        <w:tc>
          <w:tcPr>
            <w:tcW w:type="dxa" w:w="10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TC_DFD_03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Process 4.2 Tax split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Supply intra-state flag with 18% tax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Process 4.2 outputs equal CGST (9%) and SGST (9%) flows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TC_DFD_04</w:t>
            </w:r>
          </w:p>
        </w:tc>
        <w:tc>
          <w:tcPr>
            <w:tcW w:type="dxa" w:w="2592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Process 5.0 Partial payment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Record 50% installment on invoice</w:t>
            </w:r>
          </w:p>
        </w:tc>
        <w:tc>
          <w:tcPr>
            <w:tcW w:type="dxa" w:w="2160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Updates payment ledger array in D4; updates balance due</w:t>
            </w:r>
          </w:p>
        </w:tc>
        <w:tc>
          <w:tcPr>
            <w:tcW w:type="dxa" w:w="1008"/>
            <w:shd w:val="clear" w:color="auto" w:fill="F7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TC_DFD_05</w:t>
            </w:r>
          </w:p>
        </w:tc>
        <w:tc>
          <w:tcPr>
            <w:tcW w:type="dxa" w:w="2592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Verify Process 6.0 Data export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Trigger CSV export from D4</w:t>
            </w:r>
          </w:p>
        </w:tc>
        <w:tc>
          <w:tcPr>
            <w:tcW w:type="dxa" w:w="2160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Process 6.0 serializes D4 records into downloadable CSV stream</w:t>
            </w:r>
          </w:p>
        </w:tc>
        <w:tc>
          <w:tcPr>
            <w:tcW w:type="dxa" w:w="1008"/>
            <w:shd w:val="clear" w:color="auto"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1A202C"/>
                <w:sz w:val="19"/>
              </w:rPr>
              <w:t>Pass</w:t>
            </w:r>
          </w:p>
        </w:tc>
      </w:tr>
    </w:tbl>
    <w:p/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Review &amp; Viva-Voce Questions with Solutions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The following technical review questions assess core understanding of software engineering principles, web runtime behavior, and architecture applied in this experiment: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Q1. What is the difference between a Data Flow Diagram and a Program Flowchart?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A DFD models the flow of DATA through processes without implying sequence, loops, or timing. A flowchart models the control flow, execution order, and conditional branching of an algorithm within a program.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Q2. What constitutes a 'Black Hole' error in DFD modeling?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A Black Hole occurs when a process receives input data flows but produces zero output data flows. This violates data conservation because data enters the process and disappears without transformation.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Q3. What constitutes a 'Miracle' error in DFD modeling?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A Miracle error occurs when a process generates output data flows without having received any input data flows. A process cannot generate output data spontaneously without source inputs.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Q4. Explain the principle of DFD Level Balancing.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Level balancing requires that all input and output data flows crossing the boundary of a parent process must precisely match the inputs and outputs crossing the boundary of its decomposed child DFD diagram.</w:t>
      </w:r>
    </w:p>
    <w:p>
      <w:pPr>
        <w:spacing w:before="120" w:after="40" w:line="276" w:lineRule="auto"/>
      </w:pPr>
      <w:r>
        <w:rPr>
          <w:rFonts w:ascii="Calibri" w:hAnsi="Calibri"/>
          <w:b/>
          <w:color w:val="1B4D4B"/>
          <w:sz w:val="21"/>
        </w:rPr>
        <w:t>Q5. Why can't data flow directly between two Data Stores in a DFD?</w:t>
      </w:r>
    </w:p>
    <w:p>
      <w:pPr>
        <w:spacing w:before="0" w:after="120" w:line="276" w:lineRule="auto"/>
      </w:pPr>
      <w:r>
        <w:rPr>
          <w:rFonts w:ascii="Calibri" w:hAnsi="Calibri"/>
          <w:b/>
          <w:color w:val="2C3E50"/>
          <w:sz w:val="20"/>
        </w:rPr>
        <w:t xml:space="preserve">Answer: </w:t>
      </w:r>
      <w:r>
        <w:rPr>
          <w:rFonts w:ascii="Calibri" w:hAnsi="Calibri"/>
          <w:color w:val="1A202C"/>
          <w:sz w:val="20"/>
        </w:rPr>
        <w:t>Data stores are passive repositories of data. They cannot autonomously initiate read/write actions or transport data; an active software process is always required to read data from one store and write it to another.</w:t>
      </w:r>
    </w:p>
    <w:p>
      <w:pPr>
        <w:pStyle w:val="Heading2"/>
        <w:spacing w:before="200" w:after="60"/>
      </w:pPr>
      <w:r>
        <w:rPr>
          <w:rFonts w:ascii="Calibri" w:hAnsi="Calibri"/>
          <w:b/>
          <w:color w:val="2C3E50"/>
          <w:sz w:val="25"/>
        </w:rPr>
        <w:t>Conclusion &amp; Learning Outcomes</w:t>
      </w:r>
    </w:p>
    <w:p>
      <w:pPr>
        <w:spacing w:before="0" w:after="90" w:line="276" w:lineRule="auto"/>
      </w:pPr>
      <w:r>
        <w:rPr>
          <w:rFonts w:ascii="Calibri" w:hAnsi="Calibri"/>
          <w:color w:val="1A202C"/>
          <w:sz w:val="21"/>
        </w:rPr>
        <w:t>Experiment 6 modeled the complete information processing architecture of Ledgerly using hierarchical Data Flow Diagrams (Levels 0, 1, and 2) and a formal Data Dictionary. The balanced decomposition verifies that all financial data transformations adhere strictly to data conservation principles.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both"/>
    </w:pPr>
    <w:r>
      <w:rPr>
        <w:rFonts w:ascii="Calibri" w:hAnsi="Calibri"/>
        <w:color w:val="718096"/>
        <w:sz w:val="17"/>
      </w:rPr>
      <w:t>Project Case Study: Ledgerly PWA</w:t>
      <w:tab/>
      <w:tab/>
      <w:t>Academic Year 2026-27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718096"/>
        <w:sz w:val="17"/>
      </w:rPr>
      <w:t>Department of Computer Engineering  |  WDL Lab (CMPN Div C)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