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NAME</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Kimaya Teli</w:t>
              <w:br/>
              <w:t>Abhishek kumar Kairamkonda</w:t>
              <w:br/>
              <w:t>Krishna Somani</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ROLL NO</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24102C0079</w:t>
              <w:br/>
              <w:t>24102C0085</w:t>
              <w:br/>
              <w:t>24102C0067</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BRANCH</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CMPN</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DIV</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C</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SUBJECT</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WDL LAB</w:t>
            </w:r>
          </w:p>
        </w:tc>
      </w:tr>
      <w:tr>
        <w:tc>
          <w:tcPr>
            <w:tcW w:type="dxa" w:w="2592"/>
            <w:tcMar>
              <w:top w:w="100" w:type="dxa"/>
              <w:bottom w:w="100" w:type="dxa"/>
              <w:left w:w="140" w:type="dxa"/>
              <w:right w:w="140" w:type="dxa"/>
            </w:tcMar>
          </w:tcPr>
          <w:p>
            <w:pPr>
              <w:spacing w:before="0" w:after="0" w:line="276" w:lineRule="auto"/>
              <w:jc w:val="left"/>
            </w:pPr>
            <w:r>
              <w:rPr>
                <w:rFonts w:ascii="Calibri" w:hAnsi="Calibri"/>
                <w:b/>
                <w:color w:val="000000"/>
                <w:sz w:val="21"/>
              </w:rPr>
              <w:t>FACULTY</w:t>
            </w:r>
          </w:p>
        </w:tc>
        <w:tc>
          <w:tcPr>
            <w:tcW w:type="dxa" w:w="6768"/>
            <w:tcMar>
              <w:top w:w="100" w:type="dxa"/>
              <w:bottom w:w="100" w:type="dxa"/>
              <w:left w:w="140" w:type="dxa"/>
              <w:right w:w="140" w:type="dxa"/>
            </w:tcMar>
          </w:tcPr>
          <w:p>
            <w:pPr>
              <w:spacing w:before="0" w:after="0" w:line="276" w:lineRule="auto"/>
              <w:jc w:val="left"/>
            </w:pPr>
            <w:r>
              <w:rPr>
                <w:rFonts w:ascii="Calibri" w:hAnsi="Calibri"/>
                <w:color w:val="000000"/>
                <w:sz w:val="21"/>
              </w:rPr>
              <w:t>Dr. Ravindra Sangle</w:t>
            </w:r>
          </w:p>
        </w:tc>
      </w:tr>
    </w:tbl>
    <w:p/>
    <w:p>
      <w:pPr>
        <w:jc w:val="center"/>
      </w:pPr>
      <w:r>
        <w:rPr>
          <w:rFonts w:ascii="Calibri" w:hAnsi="Calibri"/>
          <w:b/>
          <w:color w:val="444444"/>
          <w:sz w:val="26"/>
        </w:rPr>
        <w:t>SOFTWARE ENGINEERING &amp; WEB DEVELOPMENT LAB MANUAL</w:t>
      </w:r>
    </w:p>
    <w:p>
      <w:pPr>
        <w:jc w:val="center"/>
      </w:pPr>
      <w:r>
        <w:rPr>
          <w:rFonts w:ascii="Calibri" w:hAnsi="Calibri"/>
          <w:i/>
          <w:color w:val="666666"/>
          <w:sz w:val="20"/>
        </w:rPr>
        <w:t>PROJECT CASE STUDY: LEDGERLY — INVOICE &amp; QUOTATION GENERATOR PWA</w:t>
      </w:r>
    </w:p>
    <w:p>
      <w:pPr>
        <w:pStyle w:val="Heading1"/>
        <w:spacing w:before="280" w:after="80"/>
        <w:jc w:val="left"/>
      </w:pPr>
      <w:r>
        <w:rPr>
          <w:rFonts w:ascii="Calibri" w:hAnsi="Calibri"/>
          <w:b/>
          <w:color w:val="1B4D4B"/>
          <w:sz w:val="30"/>
        </w:rPr>
        <w:t>Experiment No. 7: Prepare Use Case Diagram for the Project Topic</w:t>
      </w:r>
    </w:p>
    <w:p/>
    <w:p>
      <w:pPr>
        <w:pStyle w:val="Heading2"/>
        <w:spacing w:before="200" w:after="60"/>
      </w:pPr>
      <w:r>
        <w:rPr>
          <w:rFonts w:ascii="Calibri" w:hAnsi="Calibri"/>
          <w:b/>
          <w:color w:val="2C3E50"/>
          <w:sz w:val="25"/>
        </w:rPr>
        <w:t>1. Aim &amp; Objectives</w:t>
      </w:r>
    </w:p>
    <w:p>
      <w:pPr>
        <w:spacing w:before="0" w:after="90" w:line="276" w:lineRule="auto"/>
      </w:pPr>
      <w:r>
        <w:rPr>
          <w:rFonts w:ascii="Calibri" w:hAnsi="Calibri"/>
          <w:color w:val="1A202C"/>
          <w:sz w:val="21"/>
        </w:rPr>
        <w:t>The objective of this experiment is to model the functional behavioral requirements of Ledgerly from the perspective of external actors using UML Use Case Diagrams and formal Use Case Specifications.</w:t>
      </w:r>
    </w:p>
    <w:p>
      <w:pPr>
        <w:spacing w:before="0" w:after="90" w:line="276" w:lineRule="auto"/>
      </w:pPr>
      <w:r>
        <w:rPr>
          <w:rFonts w:ascii="Calibri" w:hAnsi="Calibri"/>
          <w:color w:val="1A202C"/>
          <w:sz w:val="21"/>
        </w:rPr>
        <w:t>Key Specific Objectives:</w:t>
      </w:r>
    </w:p>
    <w:p>
      <w:pPr>
        <w:pStyle w:val="ListBullet"/>
        <w:spacing w:before="0" w:after="50" w:line="276" w:lineRule="auto"/>
      </w:pPr>
      <w:r>
        <w:rPr>
          <w:rFonts w:ascii="Calibri" w:hAnsi="Calibri"/>
          <w:b/>
          <w:color w:val="1A202C"/>
          <w:sz w:val="21"/>
        </w:rPr>
        <w:t xml:space="preserve">Actor Identification: </w:t>
      </w:r>
      <w:r>
        <w:rPr>
          <w:rFonts w:ascii="Calibri" w:hAnsi="Calibri"/>
          <w:color w:val="1A202C"/>
          <w:sz w:val="21"/>
        </w:rPr>
        <w:t>Identify primary and secondary system actors and establish the operational system boundary.</w:t>
      </w:r>
    </w:p>
    <w:p>
      <w:pPr>
        <w:pStyle w:val="ListBullet"/>
        <w:spacing w:before="0" w:after="50" w:line="276" w:lineRule="auto"/>
      </w:pPr>
      <w:r>
        <w:rPr>
          <w:rFonts w:ascii="Calibri" w:hAnsi="Calibri"/>
          <w:b/>
          <w:color w:val="1A202C"/>
          <w:sz w:val="21"/>
        </w:rPr>
        <w:t xml:space="preserve">Relationship Modeling: </w:t>
      </w:r>
      <w:r>
        <w:rPr>
          <w:rFonts w:ascii="Calibri" w:hAnsi="Calibri"/>
          <w:color w:val="1A202C"/>
          <w:sz w:val="21"/>
        </w:rPr>
        <w:t>Model functional interactions and stereotype relationships (&lt;&lt;include&gt;&gt;, &lt;&lt;extend&gt;&gt;, Generalization).</w:t>
      </w:r>
    </w:p>
    <w:p>
      <w:pPr>
        <w:pStyle w:val="ListBullet"/>
        <w:spacing w:before="0" w:after="50" w:line="276" w:lineRule="auto"/>
      </w:pPr>
      <w:r>
        <w:rPr>
          <w:rFonts w:ascii="Calibri" w:hAnsi="Calibri"/>
          <w:b/>
          <w:color w:val="1A202C"/>
          <w:sz w:val="21"/>
        </w:rPr>
        <w:t xml:space="preserve">Formal Specifications: </w:t>
      </w:r>
      <w:r>
        <w:rPr>
          <w:rFonts w:ascii="Calibri" w:hAnsi="Calibri"/>
          <w:color w:val="1A202C"/>
          <w:sz w:val="21"/>
        </w:rPr>
        <w:t>Author detailed, formal Use Case Specifications for high-value business workflows.</w:t>
      </w:r>
    </w:p>
    <w:p>
      <w:pPr>
        <w:pStyle w:val="ListBullet"/>
        <w:spacing w:before="0" w:after="50" w:line="276" w:lineRule="auto"/>
      </w:pPr>
      <w:r>
        <w:rPr>
          <w:rFonts w:ascii="Calibri" w:hAnsi="Calibri"/>
          <w:b/>
          <w:color w:val="1A202C"/>
          <w:sz w:val="21"/>
        </w:rPr>
        <w:t xml:space="preserve">Traceability Mapping: </w:t>
      </w:r>
      <w:r>
        <w:rPr>
          <w:rFonts w:ascii="Calibri" w:hAnsi="Calibri"/>
          <w:color w:val="1A202C"/>
          <w:sz w:val="21"/>
        </w:rPr>
        <w:t>Map use cases directly to implementation functions and user interface views.</w:t>
      </w:r>
    </w:p>
    <w:p>
      <w:pPr>
        <w:pStyle w:val="Heading2"/>
        <w:spacing w:before="200" w:after="60"/>
      </w:pPr>
      <w:r>
        <w:rPr>
          <w:rFonts w:ascii="Calibri" w:hAnsi="Calibri"/>
          <w:b/>
          <w:color w:val="2C3E50"/>
          <w:sz w:val="25"/>
        </w:rPr>
        <w:t>2. Pre-Requisites</w:t>
      </w:r>
    </w:p>
    <w:p>
      <w:pPr>
        <w:pStyle w:val="ListBullet"/>
        <w:spacing w:before="0" w:after="50" w:line="276" w:lineRule="auto"/>
      </w:pPr>
      <w:r>
        <w:rPr>
          <w:rFonts w:ascii="Calibri" w:hAnsi="Calibri"/>
          <w:color w:val="1A202C"/>
          <w:sz w:val="21"/>
        </w:rPr>
        <w:t>Object-Oriented Analysis and Design (OOAD) and UML 2.5 Use Case metamodel standards.</w:t>
      </w:r>
    </w:p>
    <w:p>
      <w:pPr>
        <w:pStyle w:val="ListBullet"/>
        <w:spacing w:before="0" w:after="50" w:line="276" w:lineRule="auto"/>
      </w:pPr>
      <w:r>
        <w:rPr>
          <w:rFonts w:ascii="Calibri" w:hAnsi="Calibri"/>
          <w:color w:val="1A202C"/>
          <w:sz w:val="21"/>
        </w:rPr>
        <w:t>Difference between functional requirements, user stories, and formal use case specifications.</w:t>
      </w:r>
    </w:p>
    <w:p>
      <w:pPr>
        <w:pStyle w:val="Heading2"/>
        <w:spacing w:before="200" w:after="60"/>
      </w:pPr>
      <w:r>
        <w:rPr>
          <w:rFonts w:ascii="Calibri" w:hAnsi="Calibri"/>
          <w:b/>
          <w:color w:val="2C3E50"/>
          <w:sz w:val="25"/>
        </w:rPr>
        <w:t>Hardware &amp; Software Requirements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3120"/>
        <w:gridCol w:w="3120"/>
        <w:gridCol w:w="3120"/>
      </w:tblGrid>
      <w:tr>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Category</w:t>
            </w:r>
          </w:p>
        </w:tc>
        <w:tc>
          <w:tcPr>
            <w:tcW w:type="dxa" w:w="31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Component / Specification</w:t>
            </w:r>
          </w:p>
        </w:tc>
        <w:tc>
          <w:tcPr>
            <w:tcW w:type="dxa" w:w="403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Minimum Recommended Configuration</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Processor / CPU</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Intel Core i5 / AMD Ryzen 5 or higher (minimum 2.0 GHz)</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System Memory (RAM)</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8.0 GB RAM or higher recommended</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Storage / Disk</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256 GB SSD (Minimum 500 MB free workspace space)</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Hardware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Display / Resolution</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1920 x 1080 Full HD (Responsive down to 360 x 640 mobile viewports)</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Operating System</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Windows 11 / 10 (64-bit) / Ubuntu Linux / macOS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Web Browser</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Google Chrome (v110+), Mozilla Firefox (v115+), Microsoft Edge</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Core Technologies</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HTML5, Vanilla CSS3 (Custom Variables), ECMAScript 2022 (Pure Vanilla JS)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Runtime &amp; Tooling</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Node.js LTS (v20+) for local asset bundling &amp; Python 3.10+ for automated testing</w:t>
            </w:r>
          </w:p>
        </w:tc>
      </w:tr>
      <w:tr>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Testing Suite</w:t>
            </w:r>
          </w:p>
        </w:tc>
        <w:tc>
          <w:tcPr>
            <w:tcW w:type="dxa" w:w="403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Python unittest &amp; pytest automated testing harnesses</w:t>
            </w:r>
          </w:p>
        </w:tc>
      </w:tr>
      <w:tr>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Software / Runtime</w:t>
            </w:r>
          </w:p>
        </w:tc>
        <w:tc>
          <w:tcPr>
            <w:tcW w:type="dxa" w:w="31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Version Control</w:t>
            </w:r>
          </w:p>
        </w:tc>
        <w:tc>
          <w:tcPr>
            <w:tcW w:type="dxa" w:w="403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Git v2.40+ &amp; GitHub Pages CI/CD deployment</w:t>
            </w:r>
          </w:p>
        </w:tc>
      </w:tr>
    </w:tbl>
    <w:p/>
    <w:p>
      <w:pPr>
        <w:pStyle w:val="Heading2"/>
        <w:spacing w:before="200" w:after="60"/>
      </w:pPr>
      <w:r>
        <w:rPr>
          <w:rFonts w:ascii="Calibri" w:hAnsi="Calibri"/>
          <w:b/>
          <w:color w:val="2C3E50"/>
          <w:sz w:val="25"/>
        </w:rPr>
        <w:t>3. Theoretical Foundation &amp; Stereotype Semantics</w:t>
      </w:r>
    </w:p>
    <w:p>
      <w:pPr>
        <w:spacing w:before="0" w:after="90" w:line="276" w:lineRule="auto"/>
      </w:pPr>
      <w:r>
        <w:rPr>
          <w:rFonts w:ascii="Calibri" w:hAnsi="Calibri"/>
          <w:color w:val="1A202C"/>
          <w:sz w:val="21"/>
        </w:rPr>
        <w:t>Use Case modeling captures WHAT a system does from the viewpoint of external actors. It defines the behavioral contract without revealing internal code structures.</w:t>
      </w:r>
    </w:p>
    <w:p>
      <w:pPr>
        <w:spacing w:before="0" w:after="90" w:line="276" w:lineRule="auto"/>
      </w:pPr>
      <w:r>
        <w:rPr>
          <w:rFonts w:ascii="Calibri" w:hAnsi="Calibri"/>
          <w:color w:val="1A202C"/>
          <w:sz w:val="21"/>
        </w:rPr>
        <w:t>Stereotype Relationship Semantics:</w:t>
      </w:r>
    </w:p>
    <w:p>
      <w:pPr>
        <w:pStyle w:val="ListBullet"/>
        <w:spacing w:before="0" w:after="50" w:line="276" w:lineRule="auto"/>
      </w:pPr>
      <w:r>
        <w:rPr>
          <w:rFonts w:ascii="Calibri" w:hAnsi="Calibri"/>
          <w:b/>
          <w:color w:val="1A202C"/>
          <w:sz w:val="21"/>
        </w:rPr>
        <w:t xml:space="preserve">&lt;&lt;include&gt;&gt;: </w:t>
      </w:r>
      <w:r>
        <w:rPr>
          <w:rFonts w:ascii="Calibri" w:hAnsi="Calibri"/>
          <w:color w:val="1A202C"/>
          <w:sz w:val="21"/>
        </w:rPr>
        <w:t>Indicates mandatory sub-behavior. The base use case CANNOT complete without executing the included use case (e.g., 'Generate Tax Invoice' &lt;&lt;include&gt;&gt; 'Calculate GST Tax Schedule').</w:t>
      </w:r>
    </w:p>
    <w:p>
      <w:pPr>
        <w:pStyle w:val="ListBullet"/>
        <w:spacing w:before="0" w:after="50" w:line="276" w:lineRule="auto"/>
      </w:pPr>
      <w:r>
        <w:rPr>
          <w:rFonts w:ascii="Calibri" w:hAnsi="Calibri"/>
          <w:b/>
          <w:color w:val="1A202C"/>
          <w:sz w:val="21"/>
        </w:rPr>
        <w:t xml:space="preserve">&lt;&lt;extend&gt;&gt;: </w:t>
      </w:r>
      <w:r>
        <w:rPr>
          <w:rFonts w:ascii="Calibri" w:hAnsi="Calibri"/>
          <w:color w:val="1A202C"/>
          <w:sz w:val="21"/>
        </w:rPr>
        <w:t>Indicates optional or conditional behavior. The extending use case executes only if specific extension point criteria are met (e.g., 'Generate Tax Invoice' &lt;&lt;extend&gt;&gt; 'Capture Canvas Digital Signature').</w:t>
      </w:r>
    </w:p>
    <w:p>
      <w:pPr>
        <w:pStyle w:val="ListBullet"/>
        <w:spacing w:before="0" w:after="50" w:line="276" w:lineRule="auto"/>
      </w:pPr>
      <w:r>
        <w:rPr>
          <w:rFonts w:ascii="Calibri" w:hAnsi="Calibri"/>
          <w:b/>
          <w:color w:val="1A202C"/>
          <w:sz w:val="21"/>
        </w:rPr>
        <w:t xml:space="preserve">Generalization: </w:t>
      </w:r>
      <w:r>
        <w:rPr>
          <w:rFonts w:ascii="Calibri" w:hAnsi="Calibri"/>
          <w:color w:val="1A202C"/>
          <w:sz w:val="21"/>
        </w:rPr>
        <w:t>Indicates specialized actor or use case roles inheriting common properties from a base entity.</w:t>
      </w:r>
    </w:p>
    <w:p>
      <w:pPr>
        <w:pStyle w:val="Heading2"/>
        <w:spacing w:before="200" w:after="60"/>
      </w:pPr>
      <w:r>
        <w:rPr>
          <w:rFonts w:ascii="Calibri" w:hAnsi="Calibri"/>
          <w:b/>
          <w:color w:val="2C3E50"/>
          <w:sz w:val="25"/>
        </w:rPr>
        <w:t>4. Formal Use Case Specifications</w:t>
      </w:r>
    </w:p>
    <w:p>
      <w:pPr>
        <w:spacing w:before="0" w:after="90" w:line="276" w:lineRule="auto"/>
      </w:pPr>
      <w:r>
        <w:rPr>
          <w:rFonts w:ascii="Calibri" w:hAnsi="Calibri"/>
          <w:b/>
          <w:color w:val="1A202C"/>
          <w:sz w:val="21"/>
        </w:rPr>
        <w:t xml:space="preserve">USE CASE SPECIFICATION 1: </w:t>
      </w:r>
      <w:r>
        <w:rPr>
          <w:rFonts w:ascii="Calibri" w:hAnsi="Calibri"/>
          <w:color w:val="1A202C"/>
          <w:sz w:val="21"/>
        </w:rPr>
        <w:t>Use Case Specification 1: Create and Finalize Tax Invoice (UC-01)</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Attribute</w:t>
            </w:r>
          </w:p>
        </w:tc>
        <w:tc>
          <w:tcPr>
            <w:tcW w:type="dxa" w:w="67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Specification Details</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Use Case ID &amp; Name</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UC-01: Create and Finalize Tax Invoice</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Primary Actor</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Business Owner / Enterprise Admin</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Preconditions</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User is logged in; enterprise tax profile configured.</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User clicks '+ New Invoice' button in navigation toolbar.</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Main Success Scenario</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 User selects customer from directory or enters new client name.</w:t>
              <w:br/>
              <w:t>2. User adds line items specifying description, HSN code, qty, price, and tax rate.</w:t>
              <w:br/>
              <w:t>3. System dynamically calculates subtotal, discounts, CGST/SGST splits, and grand total.</w:t>
              <w:br/>
              <w:t>4. User captures digital signature on canvas and selects payment terms.</w:t>
              <w:br/>
              <w:t>5. User clicks 'Save &amp; Preview'; system commits document to storage and renders preview sheet.</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Extensions</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3a. User toggles 'Inter-state Supply': system recalculates tax as single IGST.</w:t>
              <w:br/>
              <w:t>4a. User clears canvas: system restores blank signature placeholder.</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Postconditions</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Invoice is committed to ig_invoices; auto-save buffer is cleared; preview sheet is rendered.</w:t>
            </w:r>
          </w:p>
        </w:tc>
      </w:tr>
    </w:tbl>
    <w:p/>
    <w:p>
      <w:pPr>
        <w:spacing w:before="0" w:after="90" w:line="276" w:lineRule="auto"/>
      </w:pPr>
      <w:r>
        <w:rPr>
          <w:rFonts w:ascii="Calibri" w:hAnsi="Calibri"/>
          <w:b/>
          <w:color w:val="1A202C"/>
          <w:sz w:val="21"/>
        </w:rPr>
        <w:t xml:space="preserve">USE CASE SPECIFICATION 2: </w:t>
      </w:r>
      <w:r>
        <w:rPr>
          <w:rFonts w:ascii="Calibri" w:hAnsi="Calibri"/>
          <w:color w:val="1A202C"/>
          <w:sz w:val="21"/>
        </w:rPr>
        <w:t>Use Case Specification 2: Record Partial Payment Settlement (UC-02)</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680"/>
        <w:gridCol w:w="4680"/>
      </w:tblGrid>
      <w:tr>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Attribute</w:t>
            </w:r>
          </w:p>
        </w:tc>
        <w:tc>
          <w:tcPr>
            <w:tcW w:type="dxa" w:w="676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Specification Details</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Use Case ID &amp; Name</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UC-02: Record Partial Payment Settlement</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Primary Actor</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Business Owner / Accountant</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Preconditions</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Invoice exists in system with status 'Pending' or 'Partially Paid'.</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Trigger</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User opens invoice preview and clicks 'Record Payment'.</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Main Success Scenario</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1. User enters settlement amount, payment date, payment method, and UTR/Ref.</w:t>
              <w:br/>
              <w:t>2. System appends transaction record to invoice payments ledger array.</w:t>
              <w:br/>
              <w:t>3. System recalculates total paid and updates remaining balance due.</w:t>
              <w:br/>
              <w:t>4. If balance due == 0, system transitions status to 'Paid' and stamps official receipt.</w:t>
            </w:r>
          </w:p>
        </w:tc>
      </w:tr>
      <w:tr>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Extensions</w:t>
            </w:r>
          </w:p>
        </w:tc>
        <w:tc>
          <w:tcPr>
            <w:tcW w:type="dxa" w:w="676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1a. Amount entered &gt; remaining balance due: system displays validation warning.</w:t>
            </w:r>
          </w:p>
        </w:tc>
      </w:tr>
      <w:tr>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Postconditions</w:t>
            </w:r>
          </w:p>
        </w:tc>
        <w:tc>
          <w:tcPr>
            <w:tcW w:type="dxa" w:w="676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Payment ledger updated in ig_invoices; balance due updated; receipt banner rendered.</w:t>
            </w:r>
          </w:p>
        </w:tc>
      </w:tr>
    </w:tbl>
    <w:p/>
    <w:p>
      <w:pPr>
        <w:pStyle w:val="Heading2"/>
        <w:spacing w:before="200" w:after="60"/>
      </w:pPr>
      <w:r>
        <w:rPr>
          <w:rFonts w:ascii="Calibri" w:hAnsi="Calibri"/>
          <w:b/>
          <w:color w:val="2C3E50"/>
          <w:sz w:val="25"/>
        </w:rPr>
        <w:t>5. Navigation &amp; Workflow State Machine Walkthrough</w:t>
      </w:r>
    </w:p>
    <w:p>
      <w:pPr>
        <w:spacing w:before="0" w:after="90" w:line="276" w:lineRule="auto"/>
      </w:pPr>
      <w:r>
        <w:rPr>
          <w:rFonts w:ascii="Calibri" w:hAnsi="Calibri"/>
          <w:color w:val="1A202C"/>
          <w:sz w:val="21"/>
        </w:rPr>
        <w:t>The state machine diagram visualizes the primary actor (Business Owner), user routes, navigation state transitions, and the complete set of functional workflows:</w:t>
      </w:r>
    </w:p>
    <w:p>
      <w:pPr>
        <w:spacing w:before="160" w:after="40"/>
        <w:jc w:val="center"/>
      </w:pPr>
    </w:p>
    <w:p>
      <w:r>
        <w:drawing>
          <wp:inline xmlns:a="http://schemas.openxmlformats.org/drawingml/2006/main" xmlns:pic="http://schemas.openxmlformats.org/drawingml/2006/picture">
            <wp:extent cx="5486400" cy="4471416"/>
            <wp:docPr id="1" name="Picture 1"/>
            <wp:cNvGraphicFramePr>
              <a:graphicFrameLocks noChangeAspect="1"/>
            </wp:cNvGraphicFramePr>
            <a:graphic>
              <a:graphicData uri="http://schemas.openxmlformats.org/drawingml/2006/picture">
                <pic:pic>
                  <pic:nvPicPr>
                    <pic:cNvPr id="0" name="03_navigation_state_machine.png"/>
                    <pic:cNvPicPr/>
                  </pic:nvPicPr>
                  <pic:blipFill>
                    <a:blip r:embed="rId11"/>
                    <a:stretch>
                      <a:fillRect/>
                    </a:stretch>
                  </pic:blipFill>
                  <pic:spPr>
                    <a:xfrm>
                      <a:off x="0" y="0"/>
                      <a:ext cx="5486400" cy="4471416"/>
                    </a:xfrm>
                    <a:prstGeom prst="rect"/>
                  </pic:spPr>
                </pic:pic>
              </a:graphicData>
            </a:graphic>
          </wp:inline>
        </w:drawing>
      </w:r>
    </w:p>
    <w:p>
      <w:pPr>
        <w:jc w:val="center"/>
      </w:pPr>
      <w:r>
        <w:rPr>
          <w:rFonts w:ascii="Calibri" w:hAnsi="Calibri"/>
          <w:i/>
          <w:color w:val="718096"/>
          <w:sz w:val="18"/>
        </w:rPr>
        <w:t>Figure: Application Route &amp; Navigation Workflow State Machine</w:t>
      </w:r>
    </w:p>
    <w:p/>
    <w:p>
      <w:pPr>
        <w:pStyle w:val="Heading2"/>
        <w:spacing w:before="200" w:after="60"/>
      </w:pPr>
      <w:r>
        <w:rPr>
          <w:rFonts w:ascii="Calibri" w:hAnsi="Calibri"/>
          <w:b/>
          <w:color w:val="2C3E50"/>
          <w:sz w:val="25"/>
        </w:rPr>
        <w:t>Experimental Validation &amp; Test Cases</w:t>
      </w:r>
    </w:p>
    <w:tbl>
      <w:tblPr>
        <w:tblW w:type="auto" w:w="0"/>
        <w:jc w:val="center"/>
        <w:tblLayout w:type="fixed"/>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872"/>
        <w:gridCol w:w="1872"/>
        <w:gridCol w:w="1872"/>
        <w:gridCol w:w="1872"/>
        <w:gridCol w:w="1872"/>
      </w:tblGrid>
      <w:tr>
        <w:tc>
          <w:tcPr>
            <w:tcW w:type="dxa" w:w="144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Test ID</w:t>
            </w:r>
          </w:p>
        </w:tc>
        <w:tc>
          <w:tcPr>
            <w:tcW w:type="dxa" w:w="2592"/>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Scenario / Feature Tested</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Input Data</w:t>
            </w:r>
          </w:p>
        </w:tc>
        <w:tc>
          <w:tcPr>
            <w:tcW w:type="dxa" w:w="2160"/>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Expected Result</w:t>
            </w:r>
          </w:p>
        </w:tc>
        <w:tc>
          <w:tcPr>
            <w:tcW w:type="dxa" w:w="1008"/>
            <w:shd w:val="clear" w:color="auto" w:fill="1B4D4B"/>
            <w:tcMar>
              <w:top w:w="120" w:type="dxa"/>
              <w:bottom w:w="120" w:type="dxa"/>
              <w:left w:w="140" w:type="dxa"/>
              <w:right w:w="140" w:type="dxa"/>
            </w:tcMar>
          </w:tcPr>
          <w:p>
            <w:pPr>
              <w:spacing w:before="0" w:after="0"/>
              <w:jc w:val="left"/>
            </w:pPr>
            <w:r>
              <w:rPr>
                <w:rFonts w:ascii="Calibri" w:hAnsi="Calibri"/>
                <w:b/>
                <w:color w:val="FFFFFF"/>
                <w:sz w:val="20"/>
              </w:rPr>
              <w:t>Status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TC_UC_01</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UC-01 Main Scenario</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Execute steps 1-5 of UC-01</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Invoice created, totals calculated, saved to storage</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TC_UC_02</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UC-01 Inter-state extension</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Toggle Inter-state supply checkbox</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Extension executes; tax schedule switches to IGST</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TC_UC_03</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UC-02 Settlement status</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Record payment matching grand total</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Status automatically updates from Pending to Paid</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TC_UC_04</w:t>
            </w:r>
          </w:p>
        </w:tc>
        <w:tc>
          <w:tcPr>
            <w:tcW w:type="dxa" w:w="2592"/>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Verify &lt;&lt;include&gt;&gt; QR Generation</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Finalize invoice with UPI ID</w:t>
            </w:r>
          </w:p>
        </w:tc>
        <w:tc>
          <w:tcPr>
            <w:tcW w:type="dxa" w:w="2160"/>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QR code is unconditionally synthesized into document</w:t>
            </w:r>
          </w:p>
        </w:tc>
        <w:tc>
          <w:tcPr>
            <w:tcW w:type="dxa" w:w="1008"/>
            <w:shd w:val="clear" w:color="auto" w:fill="F7FAFC"/>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r>
        <w:tc>
          <w:tcPr>
            <w:tcW w:type="dxa" w:w="144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TC_UC_05</w:t>
            </w:r>
          </w:p>
        </w:tc>
        <w:tc>
          <w:tcPr>
            <w:tcW w:type="dxa" w:w="2592"/>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Verify Clone Document use case</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Click Clone on historical invoice</w:t>
            </w:r>
          </w:p>
        </w:tc>
        <w:tc>
          <w:tcPr>
            <w:tcW w:type="dxa" w:w="2160"/>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Prefills builder with customer and items in fresh draft</w:t>
            </w:r>
          </w:p>
        </w:tc>
        <w:tc>
          <w:tcPr>
            <w:tcW w:type="dxa" w:w="1008"/>
            <w:shd w:val="clear" w:color="auto" w:fill="FFFFFF"/>
            <w:tcMar>
              <w:top w:w="100" w:type="dxa"/>
              <w:bottom w:w="100" w:type="dxa"/>
              <w:left w:w="140" w:type="dxa"/>
              <w:right w:w="140" w:type="dxa"/>
            </w:tcMar>
          </w:tcPr>
          <w:p>
            <w:pPr>
              <w:spacing w:before="0" w:after="0" w:line="276" w:lineRule="auto"/>
              <w:jc w:val="left"/>
            </w:pPr>
            <w:r>
              <w:rPr>
                <w:rFonts w:ascii="Calibri" w:hAnsi="Calibri"/>
                <w:color w:val="1A202C"/>
                <w:sz w:val="19"/>
              </w:rPr>
              <w:t>Pass</w:t>
            </w:r>
          </w:p>
        </w:tc>
      </w:tr>
    </w:tbl>
    <w:p/>
    <w:p>
      <w:pPr>
        <w:pStyle w:val="Heading2"/>
        <w:spacing w:before="200" w:after="60"/>
      </w:pPr>
      <w:r>
        <w:rPr>
          <w:rFonts w:ascii="Calibri" w:hAnsi="Calibri"/>
          <w:b/>
          <w:color w:val="2C3E50"/>
          <w:sz w:val="25"/>
        </w:rPr>
        <w:t>Review &amp; Viva-Voce Questions with Solutions</w:t>
      </w:r>
    </w:p>
    <w:p>
      <w:pPr>
        <w:spacing w:before="0" w:after="90" w:line="276" w:lineRule="auto"/>
      </w:pPr>
      <w:r>
        <w:rPr>
          <w:rFonts w:ascii="Calibri" w:hAnsi="Calibri"/>
          <w:color w:val="1A202C"/>
          <w:sz w:val="21"/>
        </w:rPr>
        <w:t>The following technical review questions assess core understanding of software engineering principles, web runtime behavior, and architecture applied in this experiment:</w:t>
      </w:r>
    </w:p>
    <w:p>
      <w:pPr>
        <w:spacing w:before="120" w:after="40" w:line="276" w:lineRule="auto"/>
      </w:pPr>
      <w:r>
        <w:rPr>
          <w:rFonts w:ascii="Calibri" w:hAnsi="Calibri"/>
          <w:b/>
          <w:color w:val="1B4D4B"/>
          <w:sz w:val="21"/>
        </w:rPr>
        <w:t>Q1. What is the primary difference between &lt;&lt;include&gt;&gt; and &lt;&lt;extend&gt;&gt; relationships?</w:t>
      </w:r>
    </w:p>
    <w:p>
      <w:pPr>
        <w:spacing w:before="0" w:after="120" w:line="276" w:lineRule="auto"/>
      </w:pPr>
      <w:r>
        <w:rPr>
          <w:rFonts w:ascii="Calibri" w:hAnsi="Calibri"/>
          <w:b/>
          <w:color w:val="2C3E50"/>
          <w:sz w:val="20"/>
        </w:rPr>
        <w:t xml:space="preserve">Answer: </w:t>
      </w:r>
      <w:r>
        <w:rPr>
          <w:rFonts w:ascii="Calibri" w:hAnsi="Calibri"/>
          <w:color w:val="1A202C"/>
          <w:sz w:val="20"/>
        </w:rPr>
        <w:t>&lt;&lt;include&gt;&gt; represents mandatory behavior that is unconditionally executed as part of the base use case flow. &lt;&lt;extend&gt;&gt; represents optional or conditional behavior that executes only when a specific extension point condition is met.</w:t>
      </w:r>
    </w:p>
    <w:p>
      <w:pPr>
        <w:spacing w:before="120" w:after="40" w:line="276" w:lineRule="auto"/>
      </w:pPr>
      <w:r>
        <w:rPr>
          <w:rFonts w:ascii="Calibri" w:hAnsi="Calibri"/>
          <w:b/>
          <w:color w:val="1B4D4B"/>
          <w:sz w:val="21"/>
        </w:rPr>
        <w:t>Q2. Can an actor be a non-human entity in a Use Case Diagram?</w:t>
      </w:r>
    </w:p>
    <w:p>
      <w:pPr>
        <w:spacing w:before="0" w:after="120" w:line="276" w:lineRule="auto"/>
      </w:pPr>
      <w:r>
        <w:rPr>
          <w:rFonts w:ascii="Calibri" w:hAnsi="Calibri"/>
          <w:b/>
          <w:color w:val="2C3E50"/>
          <w:sz w:val="20"/>
        </w:rPr>
        <w:t xml:space="preserve">Answer: </w:t>
      </w:r>
      <w:r>
        <w:rPr>
          <w:rFonts w:ascii="Calibri" w:hAnsi="Calibri"/>
          <w:color w:val="1A202C"/>
          <w:sz w:val="20"/>
        </w:rPr>
        <w:t>Yes. An actor is any entity external to the system that interacts with it. Actors can be human users (Business Owner, Client), hardware devices (barcode scanner, POS terminal), or external software systems (payment gateways, third-party APIs).</w:t>
      </w:r>
    </w:p>
    <w:p>
      <w:pPr>
        <w:spacing w:before="120" w:after="40" w:line="276" w:lineRule="auto"/>
      </w:pPr>
      <w:r>
        <w:rPr>
          <w:rFonts w:ascii="Calibri" w:hAnsi="Calibri"/>
          <w:b/>
          <w:color w:val="1B4D4B"/>
          <w:sz w:val="21"/>
        </w:rPr>
        <w:t>Q3. What constitutes a 'Precondition' in a formal use case specification?</w:t>
      </w:r>
    </w:p>
    <w:p>
      <w:pPr>
        <w:spacing w:before="0" w:after="120" w:line="276" w:lineRule="auto"/>
      </w:pPr>
      <w:r>
        <w:rPr>
          <w:rFonts w:ascii="Calibri" w:hAnsi="Calibri"/>
          <w:b/>
          <w:color w:val="2C3E50"/>
          <w:sz w:val="20"/>
        </w:rPr>
        <w:t xml:space="preserve">Answer: </w:t>
      </w:r>
      <w:r>
        <w:rPr>
          <w:rFonts w:ascii="Calibri" w:hAnsi="Calibri"/>
          <w:color w:val="1A202C"/>
          <w:sz w:val="20"/>
        </w:rPr>
        <w:t>A precondition is a mandatory state of the system that must be true BEFORE the use case can be initiated. If a precondition is violated (e.g., user is not authenticated), the use case cannot execute.</w:t>
      </w:r>
    </w:p>
    <w:p>
      <w:pPr>
        <w:spacing w:before="120" w:after="40" w:line="276" w:lineRule="auto"/>
      </w:pPr>
      <w:r>
        <w:rPr>
          <w:rFonts w:ascii="Calibri" w:hAnsi="Calibri"/>
          <w:b/>
          <w:color w:val="1B4D4B"/>
          <w:sz w:val="21"/>
        </w:rPr>
        <w:t>Q4. What is the significance of the System Boundary box in a Use Case diagram?</w:t>
      </w:r>
    </w:p>
    <w:p>
      <w:pPr>
        <w:spacing w:before="0" w:after="120" w:line="276" w:lineRule="auto"/>
      </w:pPr>
      <w:r>
        <w:rPr>
          <w:rFonts w:ascii="Calibri" w:hAnsi="Calibri"/>
          <w:b/>
          <w:color w:val="2C3E50"/>
          <w:sz w:val="20"/>
        </w:rPr>
        <w:t xml:space="preserve">Answer: </w:t>
      </w:r>
      <w:r>
        <w:rPr>
          <w:rFonts w:ascii="Calibri" w:hAnsi="Calibri"/>
          <w:color w:val="1A202C"/>
          <w:sz w:val="20"/>
        </w:rPr>
        <w:t>The System Boundary box delineates what is inside the scope of the software application being developed versus what lies outside in the external environment. Use cases reside inside; actors reside strictly outside.</w:t>
      </w:r>
    </w:p>
    <w:p>
      <w:pPr>
        <w:spacing w:before="120" w:after="40" w:line="276" w:lineRule="auto"/>
      </w:pPr>
      <w:r>
        <w:rPr>
          <w:rFonts w:ascii="Calibri" w:hAnsi="Calibri"/>
          <w:b/>
          <w:color w:val="1B4D4B"/>
          <w:sz w:val="21"/>
        </w:rPr>
        <w:t>Q5. How do Use Cases differ from Agile User Stories?</w:t>
      </w:r>
    </w:p>
    <w:p>
      <w:pPr>
        <w:spacing w:before="0" w:after="120" w:line="276" w:lineRule="auto"/>
      </w:pPr>
      <w:r>
        <w:rPr>
          <w:rFonts w:ascii="Calibri" w:hAnsi="Calibri"/>
          <w:b/>
          <w:color w:val="2C3E50"/>
          <w:sz w:val="20"/>
        </w:rPr>
        <w:t xml:space="preserve">Answer: </w:t>
      </w:r>
      <w:r>
        <w:rPr>
          <w:rFonts w:ascii="Calibri" w:hAnsi="Calibri"/>
          <w:color w:val="1A202C"/>
          <w:sz w:val="20"/>
        </w:rPr>
        <w:t>User Stories are brief, conversational placeholders ('As a [role], I want [feature], so that [benefit]') capturing high-level intent. Use Cases are formal, detailed behavioral specifications documenting complete preconditions, main flows, alternate flows, and postconditions.</w:t>
      </w:r>
    </w:p>
    <w:p>
      <w:pPr>
        <w:pStyle w:val="Heading2"/>
        <w:spacing w:before="200" w:after="60"/>
      </w:pPr>
      <w:r>
        <w:rPr>
          <w:rFonts w:ascii="Calibri" w:hAnsi="Calibri"/>
          <w:b/>
          <w:color w:val="2C3E50"/>
          <w:sz w:val="25"/>
        </w:rPr>
        <w:t>Conclusion &amp; Learning Outcomes</w:t>
      </w:r>
    </w:p>
    <w:p>
      <w:pPr>
        <w:spacing w:before="0" w:after="90" w:line="276" w:lineRule="auto"/>
      </w:pPr>
      <w:r>
        <w:rPr>
          <w:rFonts w:ascii="Calibri" w:hAnsi="Calibri"/>
          <w:color w:val="1A202C"/>
          <w:sz w:val="21"/>
        </w:rPr>
        <w:t>Experiment 7 successfully modeled the functional requirements of Ledgerly from an actor-centric perspective using UML Use Case diagrams and formal specifications. The explicit documentation of &lt;&lt;include&gt;&gt; and &lt;&lt;extend&gt;&gt; relationships guarantees complete traceability between user interactions and implementation logic.</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718096"/>
        <w:sz w:val="17"/>
      </w:rPr>
      <w:t>Project Case Study: Ledgerly PWA</w:t>
      <w:tab/>
      <w:tab/>
      <w:t>Academic Year 2026-27</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18096"/>
        <w:sz w:val="17"/>
      </w:rPr>
      <w:t>Department of Computer Engineering  |  WDL Lab (CMPN Div 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