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680"/>
        <w:gridCol w:w="4680"/>
      </w:tblGrid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NAME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Kimaya Teli</w:t>
              <w:br/>
              <w:t>Abhishek kumar Kairamkonda</w:t>
              <w:br/>
              <w:t>Krishna Somani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ROLL NO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24102C0079</w:t>
              <w:br/>
              <w:t>24102C0085</w:t>
              <w:br/>
              <w:t>24102C0067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BRANCH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CMPN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DIV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C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SUBJECT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WDL LAB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FACULTY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Dr. Ravindra Sangle</w:t>
            </w:r>
          </w:p>
        </w:tc>
      </w:tr>
    </w:tbl>
    <w:p/>
    <w:p>
      <w:pPr>
        <w:jc w:val="center"/>
      </w:pPr>
      <w:r>
        <w:rPr>
          <w:rFonts w:ascii="Calibri" w:hAnsi="Calibri"/>
          <w:b/>
          <w:color w:val="444444"/>
          <w:sz w:val="26"/>
        </w:rPr>
        <w:t>SOFTWARE ENGINEERING &amp; WEB DEVELOPMENT LAB MANUAL</w:t>
      </w:r>
    </w:p>
    <w:p>
      <w:pPr>
        <w:jc w:val="center"/>
      </w:pPr>
      <w:r>
        <w:rPr>
          <w:rFonts w:ascii="Calibri" w:hAnsi="Calibri"/>
          <w:i/>
          <w:color w:val="666666"/>
          <w:sz w:val="20"/>
        </w:rPr>
        <w:t>PROJECT CASE STUDY: LEDGERLY — INVOICE &amp; QUOTATION GENERATOR PWA</w:t>
      </w:r>
    </w:p>
    <w:p>
      <w:pPr>
        <w:pStyle w:val="Heading1"/>
        <w:spacing w:before="280" w:after="80"/>
        <w:jc w:val="left"/>
      </w:pPr>
      <w:r>
        <w:rPr>
          <w:rFonts w:ascii="Calibri" w:hAnsi="Calibri"/>
          <w:b/>
          <w:color w:val="1B4D4B"/>
          <w:sz w:val="30"/>
        </w:rPr>
        <w:t>Experiment No. 8: Interaction Design and Detailed UML Artifacts</w:t>
      </w:r>
    </w:p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1. Aim &amp; Objectives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The objective of this experiment is to construct comprehensive structural, behavioral, and architectural UML diagrams modeling object interactions, lifecycles, and deployment topologies in Ledgerly.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Key Specific Objectives: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Interaction Design: </w:t>
      </w:r>
      <w:r>
        <w:rPr>
          <w:rFonts w:ascii="Calibri" w:hAnsi="Calibri"/>
          <w:color w:val="1A202C"/>
          <w:sz w:val="21"/>
        </w:rPr>
        <w:t>Construct UML Sequence Diagrams capturing synchronous and asynchronous message exchanges during invoice creation and payment settlement.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Structural Modeling: </w:t>
      </w:r>
      <w:r>
        <w:rPr>
          <w:rFonts w:ascii="Calibri" w:hAnsi="Calibri"/>
          <w:color w:val="1A202C"/>
          <w:sz w:val="21"/>
        </w:rPr>
        <w:t>Design a formal UML Class Diagram modeling financial entities, attributes, visibility modifiers (+, -, #), and associative relationships.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Behavioral State: </w:t>
      </w:r>
      <w:r>
        <w:rPr>
          <w:rFonts w:ascii="Calibri" w:hAnsi="Calibri"/>
          <w:color w:val="1A202C"/>
          <w:sz w:val="21"/>
        </w:rPr>
        <w:t>Model the dynamic lifecycle of invoice documents using a UML State Machine Diagram.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System Topology: </w:t>
      </w:r>
      <w:r>
        <w:rPr>
          <w:rFonts w:ascii="Calibri" w:hAnsi="Calibri"/>
          <w:color w:val="1A202C"/>
          <w:sz w:val="21"/>
        </w:rPr>
        <w:t>Illustrate the physical runtime tier using UML Component and Deployment Diagrams.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2. Pre-Requisites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color w:val="1A202C"/>
          <w:sz w:val="21"/>
        </w:rPr>
        <w:t>UML 2.5 Specification standards (OMG Object Management Group).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color w:val="1A202C"/>
          <w:sz w:val="21"/>
        </w:rPr>
        <w:t>Distinction between structural diagrams (Class, Component, Deployment) and behavioral diagrams (Sequence, State Machine, Activity).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Hardware &amp; Software Requirements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120"/>
        <w:gridCol w:w="3120"/>
        <w:gridCol w:w="3120"/>
      </w:tblGrid>
      <w:tr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3168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Component / Specification</w:t>
            </w:r>
          </w:p>
        </w:tc>
        <w:tc>
          <w:tcPr>
            <w:tcW w:type="dxa" w:w="4032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Minimum Recommended Configuration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Hardware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Processor / CPU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Intel Core i5 / AMD Ryzen 5 or higher (minimum 2.0 GHz)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Hardware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System Memory (RAM)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8.0 GB RAM or higher recommended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Hardware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Storage / Disk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256 GB SSD (Minimum 500 MB free workspace space)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Hardware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Display / Resolution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1920 x 1080 Full HD (Responsive down to 360 x 640 mobile viewports)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Operating System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Windows 11 / 10 (64-bit) / Ubuntu Linux / macOS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Web Browser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Google Chrome (v110+), Mozilla Firefox (v115+), Microsoft Edge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Core Technologies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HTML5, Vanilla CSS3 (Custom Variables), ECMAScript 2022 (Pure Vanilla JS)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Runtime &amp; Tooling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Node.js LTS (v20+) for local asset bundling &amp; Python 3.10+ for automated testing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Testing Suite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Python unittest &amp; pytest automated testing harnesses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Version Control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Git v2.40+ &amp; GitHub Pages CI/CD deployment</w:t>
            </w:r>
          </w:p>
        </w:tc>
      </w:tr>
    </w:tbl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3. Theoretical Foundation &amp; UML Metamodel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Unified Modeling Language (UML) provides a standard language for writing software blueprints. In Ledgerly, UML bridges requirements engineering and physical code implementation: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Sequence Models: </w:t>
      </w:r>
      <w:r>
        <w:rPr>
          <w:rFonts w:ascii="Calibri" w:hAnsi="Calibri"/>
          <w:color w:val="1A202C"/>
          <w:sz w:val="21"/>
        </w:rPr>
        <w:t>Sequence Diagrams: Model chronological message ordering between active objects along vertical lifelines, isolating boundary controllers and persistent stores.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Class Models: </w:t>
      </w:r>
      <w:r>
        <w:rPr>
          <w:rFonts w:ascii="Calibri" w:hAnsi="Calibri"/>
          <w:color w:val="1A202C"/>
          <w:sz w:val="21"/>
        </w:rPr>
        <w:t>Class Diagrams: Model static software structure, showcasing entity schemas, type signatures, and relational multiplicity (1 to many, composition).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State Transitions: </w:t>
      </w:r>
      <w:r>
        <w:rPr>
          <w:rFonts w:ascii="Calibri" w:hAnsi="Calibri"/>
          <w:color w:val="1A202C"/>
          <w:sz w:val="21"/>
        </w:rPr>
        <w:t>State Machine Diagrams: Model reactive state transitions driven by financial events (e.g., partial payment, full settlement, expiration).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4. UML Sequence Diagrams: Invoicing &amp; Payment Pipelines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Sequence Diagram 1 captures the complete message exchange during invoice drafting: the User submits line items, the UI Controller invokes computeTotals(), queries the Tax Engine for HSN breakdowns, serializes the canvas signature, and commits the document to the Storage Engine.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45228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equence_invoice_builder_and_signa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2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718096"/>
          <w:sz w:val="18"/>
        </w:rPr>
        <w:t>Figure: UML Sequence Diagram: Invoice Compilation &amp; Persistence Pipeline</w:t>
      </w:r>
    </w:p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5. UML Class Diagram: Data Entities &amp; Operations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The Class Diagram models the core entity domain of Ledgerly. The Invoice aggregate root maintains a strong composition relationship with LineItem entities (multiplicity 1..*) and PaymentRecord entities (multiplicity 0..*):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5196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ntity_relationship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718096"/>
          <w:sz w:val="18"/>
        </w:rPr>
        <w:t>Figure: UML Class &amp; Entity-Relationship Model: Domain Relational Structure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120"/>
        <w:gridCol w:w="3120"/>
        <w:gridCol w:w="3120"/>
      </w:tblGrid>
      <w:tr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Class Name</w:t>
            </w:r>
          </w:p>
        </w:tc>
        <w:tc>
          <w:tcPr>
            <w:tcW w:type="dxa" w:w="3744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Attributes &amp; Types</w:t>
            </w:r>
          </w:p>
        </w:tc>
        <w:tc>
          <w:tcPr>
            <w:tcW w:type="dxa" w:w="3456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Public Methods / Operations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User</w:t>
            </w:r>
          </w:p>
        </w:tc>
        <w:tc>
          <w:tcPr>
            <w:tcW w:type="dxa" w:w="3744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- id: String</w:t>
              <w:br/>
              <w:t>- name: String</w:t>
              <w:br/>
              <w:t>- email: String</w:t>
              <w:br/>
              <w:t>- businessName: String</w:t>
              <w:br/>
              <w:t>- taxId: String</w:t>
            </w:r>
          </w:p>
        </w:tc>
        <w:tc>
          <w:tcPr>
            <w:tcW w:type="dxa" w:w="3456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+ register()</w:t>
              <w:br/>
              <w:t>+ authenticate()</w:t>
              <w:br/>
              <w:t>+ updateProfile()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Customer</w:t>
            </w:r>
          </w:p>
        </w:tc>
        <w:tc>
          <w:tcPr>
            <w:tcW w:type="dxa" w:w="3744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- id: String</w:t>
              <w:br/>
              <w:t>- userId: String</w:t>
              <w:br/>
              <w:t>- name: String</w:t>
              <w:br/>
              <w:t>- email: String</w:t>
              <w:br/>
              <w:t>- taxId: String</w:t>
            </w:r>
          </w:p>
        </w:tc>
        <w:tc>
          <w:tcPr>
            <w:tcW w:type="dxa" w:w="3456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+ saveCustomer()</w:t>
              <w:br/>
              <w:t>+ getStatement()</w:t>
              <w:br/>
              <w:t>+ deleteCustomer()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Invoice</w:t>
            </w:r>
          </w:p>
        </w:tc>
        <w:tc>
          <w:tcPr>
            <w:tcW w:type="dxa" w:w="3744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- id: String</w:t>
              <w:br/>
              <w:t>- invoiceNumber: String</w:t>
              <w:br/>
              <w:t>- items: LineItem[]</w:t>
              <w:br/>
              <w:t>- payments: Payment[]</w:t>
              <w:br/>
              <w:t>- grandTotal: Number</w:t>
              <w:br/>
              <w:t>- status: String</w:t>
            </w:r>
          </w:p>
        </w:tc>
        <w:tc>
          <w:tcPr>
            <w:tcW w:type="dxa" w:w="3456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+ computeTotals()</w:t>
              <w:br/>
              <w:t>+ addPayment()</w:t>
              <w:br/>
              <w:t>+ getBalanceDue()</w:t>
              <w:br/>
              <w:t>+ exportPDF()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LineItem</w:t>
            </w:r>
          </w:p>
        </w:tc>
        <w:tc>
          <w:tcPr>
            <w:tcW w:type="dxa" w:w="3744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- id: String</w:t>
              <w:br/>
              <w:t>- name: String</w:t>
              <w:br/>
              <w:t>- hsn: String</w:t>
              <w:br/>
              <w:t>- qty: Number</w:t>
              <w:br/>
              <w:t>- price: Number</w:t>
              <w:br/>
              <w:t>- taxPct: Number</w:t>
            </w:r>
          </w:p>
        </w:tc>
        <w:tc>
          <w:tcPr>
            <w:tcW w:type="dxa" w:w="3456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+ getLineSubtotal()</w:t>
              <w:br/>
              <w:t>+ getTaxAmount()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PaymentRecord</w:t>
            </w:r>
          </w:p>
        </w:tc>
        <w:tc>
          <w:tcPr>
            <w:tcW w:type="dxa" w:w="3744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- id: String</w:t>
              <w:br/>
              <w:t>- amount: Number</w:t>
              <w:br/>
              <w:t>- date: String</w:t>
              <w:br/>
              <w:t>- method: String</w:t>
              <w:br/>
              <w:t>- transactionRef: String</w:t>
            </w:r>
          </w:p>
        </w:tc>
        <w:tc>
          <w:tcPr>
            <w:tcW w:type="dxa" w:w="3456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+ serialize()</w:t>
              <w:br/>
              <w:t>+ validateAmount()</w:t>
            </w:r>
          </w:p>
        </w:tc>
      </w:tr>
    </w:tbl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6. UML State Machine Diagram: Invoice Document Lifecycle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An invoice document transitions through five deterministic states based on user actions and payment inflows: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[Draft]: </w:t>
      </w:r>
      <w:r>
        <w:rPr>
          <w:rFonts w:ascii="Calibri" w:hAnsi="Calibri"/>
          <w:color w:val="1A202C"/>
          <w:sz w:val="21"/>
        </w:rPr>
        <w:t>Initial state entered when line items are being assembled in builder; backed by real-time localStorage auto-save buffer.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[Generated]: </w:t>
      </w:r>
      <w:r>
        <w:rPr>
          <w:rFonts w:ascii="Calibri" w:hAnsi="Calibri"/>
          <w:color w:val="1A202C"/>
          <w:sz w:val="21"/>
        </w:rPr>
        <w:t>Document is finalized, assigned consecutive number (INV-2026-XXX), canvas signature embedded, and QR generated.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[Pending]: </w:t>
      </w:r>
      <w:r>
        <w:rPr>
          <w:rFonts w:ascii="Calibri" w:hAnsi="Calibri"/>
          <w:color w:val="1A202C"/>
          <w:sz w:val="21"/>
        </w:rPr>
        <w:t>Invoice is disbursed to client via WhatsApp link or PDF; balance due equals 100% of grand total.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[Partially Paid]: </w:t>
      </w:r>
      <w:r>
        <w:rPr>
          <w:rFonts w:ascii="Calibri" w:hAnsi="Calibri"/>
          <w:color w:val="1A202C"/>
          <w:sz w:val="21"/>
        </w:rPr>
        <w:t>Installment recorded where 0 &lt; Total Paid &lt; Grand Total; system dynamically calculates remaining balance.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[Paid]: </w:t>
      </w:r>
      <w:r>
        <w:rPr>
          <w:rFonts w:ascii="Calibri" w:hAnsi="Calibri"/>
          <w:color w:val="1A202C"/>
          <w:sz w:val="21"/>
        </w:rPr>
        <w:t>Terminal settlement state reached when Total Paid &gt;= Grand Total; system applies PAID watermark and official receipt badge.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69922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invoice_lifecycle_state_mach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992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718096"/>
          <w:sz w:val="18"/>
        </w:rPr>
        <w:t>Figure: UML State Machine: Invoice Lifecycle Transitions</w:t>
      </w:r>
    </w:p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7. Component &amp; Deployment Architecture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The physical deployment topology consists of a zero-server client sandbox executing in the client's Web Browser process, served via static GitHub Pages HTTPS edge nodes: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29299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omponent_ui_hierarch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718096"/>
          <w:sz w:val="18"/>
        </w:rPr>
        <w:t>Figure: UML Component &amp; UI Hierarchy — Ledgerly PWA</w:t>
      </w:r>
    </w:p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Experimental Validation &amp; Test Cases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44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2592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Scenario / Feature Tested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Input Data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008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44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TC_UML_01</w:t>
            </w:r>
          </w:p>
        </w:tc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Verify Sequence lifeline continuity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Trace Invoice generation sequence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All activation bars match synchronous/async boundaries</w:t>
            </w:r>
          </w:p>
        </w:tc>
        <w:tc>
          <w:tcPr>
            <w:tcW w:type="dxa" w:w="100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144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TC_UML_02</w:t>
            </w:r>
          </w:p>
        </w:tc>
        <w:tc>
          <w:tcPr>
            <w:tcW w:type="dxa" w:w="259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Verify Class multiplicity constraints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Invoice with 0 line items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Validation barrier halts execution; requires &gt;= 1 items</w:t>
            </w:r>
          </w:p>
        </w:tc>
        <w:tc>
          <w:tcPr>
            <w:tcW w:type="dxa" w:w="100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144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TC_UML_03</w:t>
            </w:r>
          </w:p>
        </w:tc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Verify State transition Pending -&gt; Paid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Record payment = grand total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State machine executes transition to 'Paid'</w:t>
            </w:r>
          </w:p>
        </w:tc>
        <w:tc>
          <w:tcPr>
            <w:tcW w:type="dxa" w:w="100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144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TC_UML_04</w:t>
            </w:r>
          </w:p>
        </w:tc>
        <w:tc>
          <w:tcPr>
            <w:tcW w:type="dxa" w:w="259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Verify State transition Partially Paid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Record payment &lt; grand total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State machine executes transition to 'Partially Paid'</w:t>
            </w:r>
          </w:p>
        </w:tc>
        <w:tc>
          <w:tcPr>
            <w:tcW w:type="dxa" w:w="100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144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TC_UML_05</w:t>
            </w:r>
          </w:p>
        </w:tc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Verify Component isolation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Check LocalStorage DB connector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DB operations completely decoupled from DOM renderers</w:t>
            </w:r>
          </w:p>
        </w:tc>
        <w:tc>
          <w:tcPr>
            <w:tcW w:type="dxa" w:w="100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</w:tbl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Review &amp; Viva-Voce Questions with Solutions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The following technical review questions assess core understanding of software engineering principles, web runtime behavior, and architecture applied in this experiment: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Q1. What is the distinction between synchronous and asynchronous messages in a Sequence Diagram?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A synchronous message (solid line with filled arrowhead) blocks the calling lifeline until the target completes execution and returns control. An asynchronous message (solid line with open arrowhead) dispatches a signal and allows the caller to continue execution without waiting.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Q2. What is the difference between Aggregation and Composition in a Class Diagram?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Aggregation (hollow diamond) represents a 'has-a' relationship where child parts can exist independently of the whole. Composition (filled diamond) represents a strong 'part-of' relationship where the lifetime of the parts is strictly bound to the whole (e.g., LineItems cannot exist without their parent Invoice).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Q3. What is the purpose of an Activation Bar in a Sequence Diagram?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An activation bar (vertical thin rectangle on a lifeline) represents the duration of time during which an object is actively executing an operation or waiting for a called subroutine to complete.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Q4. How does a State Machine Diagram differ from an Activity Diagram?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A State Machine Diagram models the lifecycle of a SINGLE object as it transitions between states in response to external events. An Activity Diagram models the control and data flow of an ENTIRE WORKFLOW or multi-object business process.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Q5. What information does a UML Deployment Diagram communicate?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A Deployment Diagram shows the physical hardware execution nodes (client machines, servers, cloud edge CDNs), runtime environments (browsers, containers), and the software artifact components deployed onto those nodes.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Conclusion &amp; Learning Outcomes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Experiment 8 produced comprehensive structural, interaction, and behavioral UML blueprints for Ledgerly. The formal sequence lifelines, class structures, state transitions, and component diagrams provide a rigorous architectural foundation bridging requirements and implementation.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both"/>
    </w:pPr>
    <w:r>
      <w:rPr>
        <w:rFonts w:ascii="Calibri" w:hAnsi="Calibri"/>
        <w:color w:val="718096"/>
        <w:sz w:val="17"/>
      </w:rPr>
      <w:t>Project Case Study: Ledgerly PWA</w:t>
      <w:tab/>
      <w:tab/>
      <w:t>Academic Year 2026-27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718096"/>
        <w:sz w:val="17"/>
      </w:rPr>
      <w:t>Department of Computer Engineering  |  WDL Lab (CMPN Div C)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