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444444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PROJECT CASE STUDY: LEDGERLY — INVOICE &amp; QUOTATION GENERATOR PWA</w:t>
      </w:r>
    </w:p>
    <w:p>
      <w:pPr>
        <w:pStyle w:val="Heading1"/>
        <w:spacing w:before="280" w:after="80"/>
        <w:jc w:val="left"/>
      </w:pPr>
      <w:r>
        <w:rPr>
          <w:rFonts w:ascii="Calibri" w:hAnsi="Calibri"/>
          <w:b/>
          <w:color w:val="1B4D4B"/>
          <w:sz w:val="30"/>
        </w:rPr>
        <w:t>Experiment No. 9: WBS, Gantt Chart &amp; Test Case Design (Black-Box &amp; White-Box)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1. Aim &amp; Objectives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objective of this experiment is to develop project management schedules (WBS and Gantt charts) and architect rigorous Black-Box and White-Box software testing suites for Ledgerly.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Specific Objectives: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WBS Scheduling: </w:t>
      </w:r>
      <w:r>
        <w:rPr>
          <w:rFonts w:ascii="Calibri" w:hAnsi="Calibri"/>
          <w:color w:val="1A202C"/>
          <w:sz w:val="21"/>
        </w:rPr>
        <w:t>Decompose project deliverables into a 4-level Work Breakdown Structure (WBS) adhering to the 100% rule.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CPM Planning: </w:t>
      </w:r>
      <w:r>
        <w:rPr>
          <w:rFonts w:ascii="Calibri" w:hAnsi="Calibri"/>
          <w:color w:val="1A202C"/>
          <w:sz w:val="21"/>
        </w:rPr>
        <w:t>Establish a 16-week project timeline with Critical Path Method (CPM) dependency mapping.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Black-Box Testing: </w:t>
      </w:r>
      <w:r>
        <w:rPr>
          <w:rFonts w:ascii="Calibri" w:hAnsi="Calibri"/>
          <w:color w:val="1A202C"/>
          <w:sz w:val="21"/>
        </w:rPr>
        <w:t>Design Black-Box test suites using Equivalence Partitioning (EP), Boundary Value Analysis (BVA), and Decision Tables.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White-Box Testing: </w:t>
      </w:r>
      <w:r>
        <w:rPr>
          <w:rFonts w:ascii="Calibri" w:hAnsi="Calibri"/>
          <w:color w:val="1A202C"/>
          <w:sz w:val="21"/>
        </w:rPr>
        <w:t>Perform White-Box Basis Path Testing and compute Cyclomatic Complexity on core calculation logic.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2. Pre-Requisites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Project management standards (PMBOK Guide, WBS dictionary, Critical Path Analysis).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Software testing methodologies (ISTQB standards, Black-Box techniques, White-Box control flow graphs).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Hardware &amp; Software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Specification</w:t>
            </w:r>
          </w:p>
        </w:tc>
        <w:tc>
          <w:tcPr>
            <w:tcW w:type="dxa" w:w="403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Minimum Recommended Configuration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Processor / CPU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Intel Core i5 / AMD Ryzen 5 or higher (minimum 2.0 GHz)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Memory (RAM)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8.0 GB RAM or higher recommended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Storage / Disk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256 GB SSD (Minimum 500 MB free workspace space)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 / Resolution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1920 x 1080 Full HD (Responsive down to 360 x 640 mobile viewports)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Operating System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Windows 11 / 10 (64-bit) / Ubuntu Linux / macOS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Web Browser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Google Chrome (v110+), Mozilla Firefox (v115+), Microsoft Edge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Technologies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HTML5, Vanilla CSS3 (Custom Variables), ECMAScript 2022 (Pure Vanilla JS)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Runtime &amp; Tooling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Node.js LTS (v20+) for local asset bundling &amp; Python 3.10+ for automated testing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Testing Suite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&amp; pytest automated testing harnesses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Version Control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Git v2.40+ &amp; GitHub Pages CI/CD deployment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3. Part A: Work Breakdown Structure (WBS)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WBS decomposes the Ledgerly project into manageable work packages organized across four development phases: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WBS Phase / Work Package</w:t>
            </w:r>
          </w:p>
        </w:tc>
        <w:tc>
          <w:tcPr>
            <w:tcW w:type="dxa" w:w="331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Granular Activities</w:t>
            </w:r>
          </w:p>
        </w:tc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Schedule</w:t>
            </w:r>
          </w:p>
        </w:tc>
        <w:tc>
          <w:tcPr>
            <w:tcW w:type="dxa" w:w="2016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Deliverable Milestone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1.0 Inception &amp; Architecture</w:t>
            </w:r>
          </w:p>
        </w:tc>
        <w:tc>
          <w:tcPr>
            <w:tcW w:type="dxa" w:w="331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1.1 Requirements Elicitation</w:t>
              <w:br/>
              <w:t>1.2 Feasibility &amp; Scope</w:t>
              <w:br/>
              <w:t>1.3 Architecture Selection</w:t>
            </w:r>
          </w:p>
        </w:tc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Weeks 1-3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SRS Document, Architecture Specification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2.0 UI &amp; Prototype Design</w:t>
            </w:r>
          </w:p>
        </w:tc>
        <w:tc>
          <w:tcPr>
            <w:tcW w:type="dxa" w:w="331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2.1 HTML5 Semantic Skeleton</w:t>
              <w:br/>
              <w:t>2.2 CSS3 Design Tokens</w:t>
              <w:br/>
              <w:t>2.3 Responsive Drawer &amp; Mobile</w:t>
            </w:r>
          </w:p>
        </w:tc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Weeks 4-6</w:t>
            </w:r>
          </w:p>
        </w:tc>
        <w:tc>
          <w:tcPr>
            <w:tcW w:type="dxa" w:w="201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App Shell, Responsive Layout, Canvas Prototype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3.0 Core Engine Construction</w:t>
            </w:r>
          </w:p>
        </w:tc>
        <w:tc>
          <w:tcPr>
            <w:tcW w:type="dxa" w:w="331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3.1 Calculation &amp; GST Split Engine</w:t>
              <w:br/>
              <w:t>3.2 HSN Tax Matrix &amp; Storage</w:t>
              <w:br/>
              <w:t>3.3 Canvas Signature &amp; Offline QR</w:t>
            </w:r>
          </w:p>
        </w:tc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Weeks 7-12</w:t>
            </w:r>
          </w:p>
        </w:tc>
        <w:tc>
          <w:tcPr>
            <w:tcW w:type="dxa" w:w="2016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Functional Invoicing Suite, Local Persistence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4.0 Verification &amp; Deployment</w:t>
            </w:r>
          </w:p>
        </w:tc>
        <w:tc>
          <w:tcPr>
            <w:tcW w:type="dxa" w:w="331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4.1 Automated Unit Test Harness</w:t>
              <w:br/>
              <w:t>4.2 RMMM &amp; Risk Assessment</w:t>
              <w:br/>
              <w:t>4.3 Git Versioning &amp; GitHub Pages</w:t>
            </w:r>
          </w:p>
        </w:tc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Weeks 13-16</w:t>
            </w:r>
          </w:p>
        </w:tc>
        <w:tc>
          <w:tcPr>
            <w:tcW w:type="dxa" w:w="2016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Passing Unit Test Suite, Live Production PWA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4. Part B: Black-Box Test Case Design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1. Equivalence Partitioning (EP) - Discount Calculation Engine: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Equivalence Class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Condition / Range</w:t>
            </w:r>
          </w:p>
        </w:tc>
        <w:tc>
          <w:tcPr>
            <w:tcW w:type="dxa" w:w="187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Input</w:t>
            </w:r>
          </w:p>
        </w:tc>
        <w:tc>
          <w:tcPr>
            <w:tcW w:type="dxa" w:w="187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System Response</w:t>
            </w:r>
          </w:p>
        </w:tc>
        <w:tc>
          <w:tcPr>
            <w:tcW w:type="dxa" w:w="86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Valid Percentage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discountVal between 0 and 100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discountVal = 20%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Subtotal reduced by 20%</w:t>
            </w:r>
          </w:p>
        </w:tc>
        <w:tc>
          <w:tcPr>
            <w:tcW w:type="dxa" w:w="86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Valid Flat Amount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flat amount between 0 and subtotal</w:t>
            </w:r>
          </w:p>
        </w:tc>
        <w:tc>
          <w:tcPr>
            <w:tcW w:type="dxa" w:w="187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discountVal = 500 (Subtotal=2000)</w:t>
            </w:r>
          </w:p>
        </w:tc>
        <w:tc>
          <w:tcPr>
            <w:tcW w:type="dxa" w:w="187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Subtotal reduced by 500</w:t>
            </w:r>
          </w:p>
        </w:tc>
        <w:tc>
          <w:tcPr>
            <w:tcW w:type="dxa" w:w="86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Invalid Negative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discountVal &lt; 0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discountVal = -15</w:t>
            </w:r>
          </w:p>
        </w:tc>
        <w:tc>
          <w:tcPr>
            <w:tcW w:type="dxa" w:w="187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clamps value to 0; displays error</w:t>
            </w:r>
          </w:p>
        </w:tc>
        <w:tc>
          <w:tcPr>
            <w:tcW w:type="dxa" w:w="86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Invalid Overflow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percentage discountVal &gt; 100</w:t>
            </w:r>
          </w:p>
        </w:tc>
        <w:tc>
          <w:tcPr>
            <w:tcW w:type="dxa" w:w="187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discountVal = 125%</w:t>
            </w:r>
          </w:p>
        </w:tc>
        <w:tc>
          <w:tcPr>
            <w:tcW w:type="dxa" w:w="187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rejects input; clamps to 100%</w:t>
            </w:r>
          </w:p>
        </w:tc>
        <w:tc>
          <w:tcPr>
            <w:tcW w:type="dxa" w:w="86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2. Boundary Value Analysis (BVA) - Tax Rate Validation: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Boundary Condition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Boundary Tested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Input</w:t>
            </w:r>
          </w:p>
        </w:tc>
        <w:tc>
          <w:tcPr>
            <w:tcW w:type="dxa" w:w="244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864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Minimum Boundary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0.0%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0</w:t>
            </w:r>
          </w:p>
        </w:tc>
        <w:tc>
          <w:tcPr>
            <w:tcW w:type="dxa" w:w="244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Zero tax applied; tax row hidden</w:t>
            </w:r>
          </w:p>
        </w:tc>
        <w:tc>
          <w:tcPr>
            <w:tcW w:type="dxa" w:w="86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Just Above Min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0.01%</w:t>
            </w:r>
          </w:p>
        </w:tc>
        <w:tc>
          <w:tcPr>
            <w:tcW w:type="dxa" w:w="172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0.01</w:t>
            </w:r>
          </w:p>
        </w:tc>
        <w:tc>
          <w:tcPr>
            <w:tcW w:type="dxa" w:w="244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Calculates micro-tax rate accurately</w:t>
            </w:r>
          </w:p>
        </w:tc>
        <w:tc>
          <w:tcPr>
            <w:tcW w:type="dxa" w:w="86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Nominal Value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18.0%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18.0</w:t>
            </w:r>
          </w:p>
        </w:tc>
        <w:tc>
          <w:tcPr>
            <w:tcW w:type="dxa" w:w="244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Splits into 9% CGST and 9% SGST</w:t>
            </w:r>
          </w:p>
        </w:tc>
        <w:tc>
          <w:tcPr>
            <w:tcW w:type="dxa" w:w="86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Maximum Boundary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100.0%</w:t>
            </w:r>
          </w:p>
        </w:tc>
        <w:tc>
          <w:tcPr>
            <w:tcW w:type="dxa" w:w="172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100.0</w:t>
            </w:r>
          </w:p>
        </w:tc>
        <w:tc>
          <w:tcPr>
            <w:tcW w:type="dxa" w:w="244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Applies 100% tax rate accurately</w:t>
            </w:r>
          </w:p>
        </w:tc>
        <w:tc>
          <w:tcPr>
            <w:tcW w:type="dxa" w:w="86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Invalid Below Min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-0.01%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-0.01</w:t>
            </w:r>
          </w:p>
        </w:tc>
        <w:tc>
          <w:tcPr>
            <w:tcW w:type="dxa" w:w="244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Throws ValueError: Tax rate must be &gt;= 0</w:t>
            </w:r>
          </w:p>
        </w:tc>
        <w:tc>
          <w:tcPr>
            <w:tcW w:type="dxa" w:w="864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Invalid Above Max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100.01%</w:t>
            </w:r>
          </w:p>
        </w:tc>
        <w:tc>
          <w:tcPr>
            <w:tcW w:type="dxa" w:w="172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taxPct = 100.01</w:t>
            </w:r>
          </w:p>
        </w:tc>
        <w:tc>
          <w:tcPr>
            <w:tcW w:type="dxa" w:w="244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Throws ValueError: Tax rate must be &lt;= 100</w:t>
            </w:r>
          </w:p>
        </w:tc>
        <w:tc>
          <w:tcPr>
            <w:tcW w:type="dxa" w:w="864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5. Part C: White-Box Testing &amp; Cyclomatic Complexity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White-Box testing evaluates the internal logical structures of computeTotals(). The Control Flow Graph (CFG) contains 7 decision nodes (predicates) and 14 edges.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single" w:sz="24" w:space="0" w:color="1B4D4B"/>
          <w:top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val="clear" w:color="auto"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B4D4B"/>
                <w:sz w:val="20"/>
              </w:rPr>
              <w:t>WHITE-BOX COMPLEXITY DERIVATION (MCCABE'S METRIC)</w:t>
              <w:br/>
            </w:r>
            <w:r>
              <w:rPr>
                <w:rFonts w:ascii="Calibri" w:hAnsi="Calibri"/>
                <w:i/>
                <w:color w:val="1A202C"/>
                <w:sz w:val="20"/>
              </w:rPr>
              <w:t>Cyclomatic Complexity Formula: V(G) = E - N + 2P</w:t>
              <w:br/>
              <w:t>Where E (Edges) = 14, N (Nodes) = 9, P (Connected Components) = 1.</w:t>
              <w:br/>
              <w:t>V(G) = 14 - 9 + 2(1) = 7.</w:t>
              <w:br/>
              <w:t>Alternatively, V(G) = Number of Predicate Nodes + 1 = 6 + 1 = 7.</w:t>
              <w:br/>
              <w:t>Therefore, exactly 7 linearly independent paths form the basis test set.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Experimental Validation &amp; Test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 / Feature Tested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Data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TC_WBS_01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EP Valid Percentage Discount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subtotal=1000, discount=10%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taxableAmount=900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TC_WBS_02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BVA Minimum Tax Rate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subtotal=1000, taxPct=0%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tax=0, grandTotal=1000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TC_WBS_03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BVA Maximum Tax Rate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subtotal=1000, taxPct=100%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tax=1000, grandTotal=2000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TC_WBS_04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White-Box Path 1 (Flat Disc)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discountType='flat', isInterState=True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Executes Path 1; computes IGST accurately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TC_WBS_05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White-Box Path 2 (Auto Round)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isRoundOff=True, preTotal=1045.60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grandTotal=1046, roundOff=+0.40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Review &amp; Viva-Voce Questions with Solutions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following technical review questions assess core understanding of software engineering principles, web runtime behavior, and architecture applied in this experiment: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Q1. Explain the '100% Rule' in Work Breakdown Structure (WBS) design.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The 100% rule states that a WBS must capture 100% of the project scope defined in the project plan, including internal and project management deliverables. Sub-tasks under any work package must aggregate strictly to 100% of the parent package with zero omissions or additions.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Q2. What is the Critical Path in a project network diagram?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The Critical Path is the longest continuous sequence of dependent tasks from project start to finish. Tasks on the critical path have zero float (slack time); any delay in a critical path task directly delays the overall project completion date.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Q3. Why is Boundary Value Analysis (BVA) used alongside Equivalence Partitioning (EP)?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Empirical studies reveal that software faults cluster disproportionately at boundary edges (min, min+1, nominal, max-1, max) rather than inside valid partitions. BVA targets edge cases where developers commonly make off-by-one comparison errors (e.g., using &lt; instead of &lt;=).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Q4. What does Cyclomatic Complexity measure in software engineering?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Developed by Thomas McCabe, Cyclomatic Complexity measures the quantitative complexity of a program's control flow graph. It defines the minimum number of linearly independent execution paths required to achieve 100% statement and branch test coverage.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Q5. What is the difference between Verification and Validation?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Verification asks: 'Are we building the product RIGHT?' (ensuring the software adheres to specifications and standards through code reviews and unit testing). Validation asks: 'Are we building the RIGHT product?' (ensuring the software satisfies actual user needs).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Conclusion &amp; Learning Outcomes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Experiment 9 developed a detailed WBS and 16-week project schedule, alongside comprehensive Black-Box (EP, BVA) and White-Box (Basis Path) test suites. Calculating a Cyclomatic Complexity of V(G)=7 provides an exact mathematical guarantee of test coverage across financial calculation paths.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718096"/>
        <w:sz w:val="17"/>
      </w:rPr>
      <w:t>Project Case Study: Ledgerly PWA</w:t>
      <w:tab/>
      <w:tab/>
      <w:t>Academic Year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18096"/>
        <w:sz w:val="17"/>
      </w:rPr>
      <w:t>Department of Computer Engineering  |  WDL Lab (CMPN Div C)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