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NAME</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Kimaya Teli</w:t>
              <w:br/>
              <w:t>Abhishek kumar Kairamkonda</w:t>
              <w:br/>
              <w:t>Krishna Somani</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ROLL NO</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24102C0079</w:t>
              <w:br/>
              <w:t>24102C0085</w:t>
              <w:br/>
              <w:t>24102C0067</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BRANCH</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CMPN</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DIV</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SUBJECT</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WDL LAB</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FACULTY</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Dr. Ravindra Sangle</w:t>
            </w:r>
          </w:p>
        </w:tc>
      </w:tr>
    </w:tbl>
    <w:p/>
    <w:p>
      <w:pPr>
        <w:jc w:val="center"/>
      </w:pPr>
      <w:r>
        <w:rPr>
          <w:rFonts w:ascii="Calibri" w:hAnsi="Calibri"/>
          <w:b/>
          <w:color w:val="444444"/>
          <w:sz w:val="26"/>
        </w:rPr>
        <w:t>SOFTWARE ENGINEERING &amp; WEB DEVELOPMENT LAB MANUAL</w:t>
      </w:r>
    </w:p>
    <w:p>
      <w:pPr>
        <w:jc w:val="center"/>
      </w:pPr>
      <w:r>
        <w:rPr>
          <w:rFonts w:ascii="Calibri" w:hAnsi="Calibri"/>
          <w:i/>
          <w:color w:val="666666"/>
          <w:sz w:val="20"/>
        </w:rPr>
        <w:t>PROJECT CASE STUDY: LEDGERLY — INVOICE &amp; QUOTATION GENERATOR PWA</w:t>
      </w:r>
    </w:p>
    <w:p>
      <w:pPr>
        <w:pStyle w:val="Heading1"/>
        <w:spacing w:before="280" w:after="80"/>
        <w:jc w:val="left"/>
      </w:pPr>
      <w:r>
        <w:rPr>
          <w:rFonts w:ascii="Calibri" w:hAnsi="Calibri"/>
          <w:b/>
          <w:color w:val="1B4D4B"/>
          <w:sz w:val="30"/>
        </w:rPr>
        <w:t>Experiment No. 10: Prepare Test Case Plan using Pytest or Unittest</w:t>
      </w:r>
    </w:p>
    <w:p/>
    <w:p>
      <w:pPr>
        <w:pStyle w:val="Heading2"/>
        <w:spacing w:before="200" w:after="60"/>
      </w:pPr>
      <w:r>
        <w:rPr>
          <w:rFonts w:ascii="Calibri" w:hAnsi="Calibri"/>
          <w:b/>
          <w:color w:val="2C3E50"/>
          <w:sz w:val="25"/>
        </w:rPr>
        <w:t>1. Aim &amp; Objectives</w:t>
      </w:r>
    </w:p>
    <w:p>
      <w:pPr>
        <w:spacing w:before="0" w:after="90" w:line="276" w:lineRule="auto"/>
      </w:pPr>
      <w:r>
        <w:rPr>
          <w:rFonts w:ascii="Calibri" w:hAnsi="Calibri"/>
          <w:color w:val="1A202C"/>
          <w:sz w:val="21"/>
        </w:rPr>
        <w:t>The objective of this experiment is to architect, implement, and automate a regression unit test suite for Ledgerly's core financial calculation algorithms using Python's unittest and pytest frameworks.</w:t>
      </w:r>
    </w:p>
    <w:p>
      <w:pPr>
        <w:spacing w:before="0" w:after="90" w:line="276" w:lineRule="auto"/>
      </w:pPr>
      <w:r>
        <w:rPr>
          <w:rFonts w:ascii="Calibri" w:hAnsi="Calibri"/>
          <w:color w:val="1A202C"/>
          <w:sz w:val="21"/>
        </w:rPr>
        <w:t>Key Specific Objectives:</w:t>
      </w:r>
    </w:p>
    <w:p>
      <w:pPr>
        <w:pStyle w:val="ListBullet"/>
        <w:spacing w:before="0" w:after="50" w:line="276" w:lineRule="auto"/>
      </w:pPr>
      <w:r>
        <w:rPr>
          <w:rFonts w:ascii="Calibri" w:hAnsi="Calibri"/>
          <w:b/>
          <w:color w:val="1A202C"/>
          <w:sz w:val="21"/>
        </w:rPr>
        <w:t xml:space="preserve">Test Harness Architecture: </w:t>
      </w:r>
      <w:r>
        <w:rPr>
          <w:rFonts w:ascii="Calibri" w:hAnsi="Calibri"/>
          <w:color w:val="1A202C"/>
          <w:sz w:val="21"/>
        </w:rPr>
        <w:t>Construct an automated test harness validating subtotal math, discount logic, dual GST splits, and rounding algorithms.</w:t>
      </w:r>
    </w:p>
    <w:p>
      <w:pPr>
        <w:pStyle w:val="ListBullet"/>
        <w:spacing w:before="0" w:after="50" w:line="276" w:lineRule="auto"/>
      </w:pPr>
      <w:r>
        <w:rPr>
          <w:rFonts w:ascii="Calibri" w:hAnsi="Calibri"/>
          <w:b/>
          <w:color w:val="1A202C"/>
          <w:sz w:val="21"/>
        </w:rPr>
        <w:t xml:space="preserve">Automated Test Cases: </w:t>
      </w:r>
      <w:r>
        <w:rPr>
          <w:rFonts w:ascii="Calibri" w:hAnsi="Calibri"/>
          <w:color w:val="1A202C"/>
          <w:sz w:val="21"/>
        </w:rPr>
        <w:t>Implement 14 automated unit test cases with deterministic assert statements.</w:t>
      </w:r>
    </w:p>
    <w:p>
      <w:pPr>
        <w:pStyle w:val="ListBullet"/>
        <w:spacing w:before="0" w:after="50" w:line="276" w:lineRule="auto"/>
      </w:pPr>
      <w:r>
        <w:rPr>
          <w:rFonts w:ascii="Calibri" w:hAnsi="Calibri"/>
          <w:b/>
          <w:color w:val="1A202C"/>
          <w:sz w:val="21"/>
        </w:rPr>
        <w:t xml:space="preserve">Statutory Test Coverage: </w:t>
      </w:r>
      <w:r>
        <w:rPr>
          <w:rFonts w:ascii="Calibri" w:hAnsi="Calibri"/>
          <w:color w:val="1A202C"/>
          <w:sz w:val="21"/>
        </w:rPr>
        <w:t>Validate Indian numbering word conversions (Crores, Lakhs, Thousands) and HSN tax summary matrices.</w:t>
      </w:r>
    </w:p>
    <w:p>
      <w:pPr>
        <w:pStyle w:val="ListBullet"/>
        <w:spacing w:before="0" w:after="50" w:line="276" w:lineRule="auto"/>
      </w:pPr>
      <w:r>
        <w:rPr>
          <w:rFonts w:ascii="Calibri" w:hAnsi="Calibri"/>
          <w:b/>
          <w:color w:val="1A202C"/>
          <w:sz w:val="21"/>
        </w:rPr>
        <w:t xml:space="preserve">Execution &amp; Reporting: </w:t>
      </w:r>
      <w:r>
        <w:rPr>
          <w:rFonts w:ascii="Calibri" w:hAnsi="Calibri"/>
          <w:color w:val="1A202C"/>
          <w:sz w:val="21"/>
        </w:rPr>
        <w:t>Execute regression test suites and analyze automated execution reports.</w:t>
      </w:r>
    </w:p>
    <w:p>
      <w:pPr>
        <w:pStyle w:val="Heading2"/>
        <w:spacing w:before="200" w:after="60"/>
      </w:pPr>
      <w:r>
        <w:rPr>
          <w:rFonts w:ascii="Calibri" w:hAnsi="Calibri"/>
          <w:b/>
          <w:color w:val="2C3E50"/>
          <w:sz w:val="25"/>
        </w:rPr>
        <w:t>2. Pre-Requisites</w:t>
      </w:r>
    </w:p>
    <w:p>
      <w:pPr>
        <w:pStyle w:val="ListBullet"/>
        <w:spacing w:before="0" w:after="50" w:line="276" w:lineRule="auto"/>
      </w:pPr>
      <w:r>
        <w:rPr>
          <w:rFonts w:ascii="Calibri" w:hAnsi="Calibri"/>
          <w:color w:val="1A202C"/>
          <w:sz w:val="21"/>
        </w:rPr>
        <w:t>Python testing frameworks: unittest (standard library) and pytest.</w:t>
      </w:r>
    </w:p>
    <w:p>
      <w:pPr>
        <w:pStyle w:val="ListBullet"/>
        <w:spacing w:before="0" w:after="50" w:line="276" w:lineRule="auto"/>
      </w:pPr>
      <w:r>
        <w:rPr>
          <w:rFonts w:ascii="Calibri" w:hAnsi="Calibri"/>
          <w:color w:val="1A202C"/>
          <w:sz w:val="21"/>
        </w:rPr>
        <w:t>Test automation concepts: test runners, fixtures, assertions (assertEqual, assertTrue, assertRaises), and continuous integration.</w:t>
      </w:r>
    </w:p>
    <w:p>
      <w:pPr>
        <w:pStyle w:val="Heading2"/>
        <w:spacing w:before="200" w:after="60"/>
      </w:pPr>
      <w:r>
        <w:rPr>
          <w:rFonts w:ascii="Calibri" w:hAnsi="Calibri"/>
          <w:b/>
          <w:color w:val="2C3E50"/>
          <w:sz w:val="25"/>
        </w:rPr>
        <w:t>Hardware &amp; Software Requirements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20"/>
        <w:gridCol w:w="3120"/>
        <w:gridCol w:w="3120"/>
      </w:tblGrid>
      <w:tr>
        <w:tc>
          <w:tcPr>
            <w:tcW w:type="dxa" w:w="216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Category</w:t>
            </w:r>
          </w:p>
        </w:tc>
        <w:tc>
          <w:tcPr>
            <w:tcW w:type="dxa" w:w="316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Component / Specification</w:t>
            </w:r>
          </w:p>
        </w:tc>
        <w:tc>
          <w:tcPr>
            <w:tcW w:type="dxa" w:w="403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Minimum Recommended Configuration</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Processor / CPU</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Intel Core i5 / AMD Ryzen 5 or higher (minimum 2.0 GHz)</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System Memory (RAM)</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8.0 GB RAM or higher recommended</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Storage / Disk</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256 GB SSD (Minimum 500 MB free workspace space)</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Display / Resolution</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1920 x 1080 Full HD (Responsive down to 360 x 640 mobile viewports)</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Operating System</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Windows 11 / 10 (64-bit) / Ubuntu Linux / macOS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Web Browser</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Google Chrome (v110+), Mozilla Firefox (v115+), Microsoft Edge</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Core Technologies</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HTML5, Vanilla CSS3 (Custom Variables), ECMAScript 2022 (Pure Vanilla JS)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Runtime &amp; Tooling</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Node.js LTS (v20+) for local asset bundling &amp; Python 3.10+ for automated testing</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Testing Suite</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Python unittest &amp; pytest automated testing harnesses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Version Control</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Git v2.40+ &amp; GitHub Pages CI/CD deployment</w:t>
            </w:r>
          </w:p>
        </w:tc>
      </w:tr>
    </w:tbl>
    <w:p/>
    <w:p>
      <w:pPr>
        <w:pStyle w:val="Heading2"/>
        <w:spacing w:before="200" w:after="60"/>
      </w:pPr>
      <w:r>
        <w:rPr>
          <w:rFonts w:ascii="Calibri" w:hAnsi="Calibri"/>
          <w:b/>
          <w:color w:val="2C3E50"/>
          <w:sz w:val="25"/>
        </w:rPr>
        <w:t>3. Test Automation Strategy &amp; Suite Architecture</w:t>
      </w:r>
    </w:p>
    <w:p>
      <w:pPr>
        <w:spacing w:before="0" w:after="90" w:line="276" w:lineRule="auto"/>
      </w:pPr>
      <w:r>
        <w:rPr>
          <w:rFonts w:ascii="Calibri" w:hAnsi="Calibri"/>
          <w:color w:val="1A202C"/>
          <w:sz w:val="21"/>
        </w:rPr>
        <w:t>To achieve 100% test reliability, Ledgerly's core financial logic is mirrored into a pure algorithmic Python harness (test_invoice_engine.py). This allows lightning-fast regression testing (under 5 milliseconds for all 14 tests) without the overhead of spinning up heavy headless browser runtimes.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872"/>
        <w:gridCol w:w="1872"/>
        <w:gridCol w:w="1872"/>
        <w:gridCol w:w="1872"/>
        <w:gridCol w:w="1872"/>
      </w:tblGrid>
      <w:tr>
        <w:tc>
          <w:tcPr>
            <w:tcW w:type="dxa" w:w="144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Test ID</w:t>
            </w:r>
          </w:p>
        </w:tc>
        <w:tc>
          <w:tcPr>
            <w:tcW w:type="dxa" w:w="288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Scenario / Feature Tested</w:t>
            </w:r>
          </w:p>
        </w:tc>
        <w:tc>
          <w:tcPr>
            <w:tcW w:type="dxa" w:w="259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Input Data</w:t>
            </w:r>
          </w:p>
        </w:tc>
        <w:tc>
          <w:tcPr>
            <w:tcW w:type="dxa" w:w="2016"/>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Expected Assertion</w:t>
            </w:r>
          </w:p>
        </w:tc>
        <w:tc>
          <w:tcPr>
            <w:tcW w:type="dxa" w:w="864"/>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Status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TC_SUB_01</w:t>
            </w:r>
          </w:p>
        </w:tc>
        <w:tc>
          <w:tcPr>
            <w:tcW w:type="dxa" w:w="288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Calculate subtotal across multi-line items</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3 items: (2x1000) + (1x500) + (4x250)</w:t>
            </w:r>
          </w:p>
        </w:tc>
        <w:tc>
          <w:tcPr>
            <w:tcW w:type="dxa" w:w="2016"/>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subtotal == 3500.0</w:t>
            </w:r>
          </w:p>
        </w:tc>
        <w:tc>
          <w:tcPr>
            <w:tcW w:type="dxa" w:w="86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TC_DISC_01</w:t>
            </w:r>
          </w:p>
        </w:tc>
        <w:tc>
          <w:tcPr>
            <w:tcW w:type="dxa" w:w="288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Percentage discount computation</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Subtotal 1000, 10% discount</w:t>
            </w:r>
          </w:p>
        </w:tc>
        <w:tc>
          <w:tcPr>
            <w:tcW w:type="dxa" w:w="2016"/>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discount == 100.0</w:t>
            </w:r>
          </w:p>
        </w:tc>
        <w:tc>
          <w:tcPr>
            <w:tcW w:type="dxa" w:w="86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TC_DISC_02</w:t>
            </w:r>
          </w:p>
        </w:tc>
        <w:tc>
          <w:tcPr>
            <w:tcW w:type="dxa" w:w="288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Flat discount value computation</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Subtotal 1000, Flat 150 discount</w:t>
            </w:r>
          </w:p>
        </w:tc>
        <w:tc>
          <w:tcPr>
            <w:tcW w:type="dxa" w:w="2016"/>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discount == 150.0</w:t>
            </w:r>
          </w:p>
        </w:tc>
        <w:tc>
          <w:tcPr>
            <w:tcW w:type="dxa" w:w="86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TC_TAX_01</w:t>
            </w:r>
          </w:p>
        </w:tc>
        <w:tc>
          <w:tcPr>
            <w:tcW w:type="dxa" w:w="288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Intra-state GST dual split</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Taxable 1000, 18% tax, Intra-state</w:t>
            </w:r>
          </w:p>
        </w:tc>
        <w:tc>
          <w:tcPr>
            <w:tcW w:type="dxa" w:w="2016"/>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CGST=90, SGST=90, IGST=0</w:t>
            </w:r>
          </w:p>
        </w:tc>
        <w:tc>
          <w:tcPr>
            <w:tcW w:type="dxa" w:w="86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TC_TAX_02</w:t>
            </w:r>
          </w:p>
        </w:tc>
        <w:tc>
          <w:tcPr>
            <w:tcW w:type="dxa" w:w="288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Inter-state IGST single tax</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Taxable 1000, 18% tax, Inter-state</w:t>
            </w:r>
          </w:p>
        </w:tc>
        <w:tc>
          <w:tcPr>
            <w:tcW w:type="dxa" w:w="2016"/>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CGST=0, SGST=0, IGST=180</w:t>
            </w:r>
          </w:p>
        </w:tc>
        <w:tc>
          <w:tcPr>
            <w:tcW w:type="dxa" w:w="86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TC_GT_01</w:t>
            </w:r>
          </w:p>
        </w:tc>
        <w:tc>
          <w:tcPr>
            <w:tcW w:type="dxa" w:w="288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Grand total calculation with extra charges</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Subtotal 1000, Disc 100, Tax 162, Extra 50</w:t>
            </w:r>
          </w:p>
        </w:tc>
        <w:tc>
          <w:tcPr>
            <w:tcW w:type="dxa" w:w="2016"/>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grandTotal == 1112.0</w:t>
            </w:r>
          </w:p>
        </w:tc>
        <w:tc>
          <w:tcPr>
            <w:tcW w:type="dxa" w:w="86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TC_GT_02</w:t>
            </w:r>
          </w:p>
        </w:tc>
        <w:tc>
          <w:tcPr>
            <w:tcW w:type="dxa" w:w="288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Automatic mathematical round-off</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Pre-round total 1045.60, auto-round ON</w:t>
            </w:r>
          </w:p>
        </w:tc>
        <w:tc>
          <w:tcPr>
            <w:tcW w:type="dxa" w:w="2016"/>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grandTotal=1046, roundOff=+0.40</w:t>
            </w:r>
          </w:p>
        </w:tc>
        <w:tc>
          <w:tcPr>
            <w:tcW w:type="dxa" w:w="86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TC_PAY_01</w:t>
            </w:r>
          </w:p>
        </w:tc>
        <w:tc>
          <w:tcPr>
            <w:tcW w:type="dxa" w:w="288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Payment status determination: Unpaid</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Grand total 1000, Total paid 0</w:t>
            </w:r>
          </w:p>
        </w:tc>
        <w:tc>
          <w:tcPr>
            <w:tcW w:type="dxa" w:w="2016"/>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status == 'Unpaid'</w:t>
            </w:r>
          </w:p>
        </w:tc>
        <w:tc>
          <w:tcPr>
            <w:tcW w:type="dxa" w:w="86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TC_PAY_02</w:t>
            </w:r>
          </w:p>
        </w:tc>
        <w:tc>
          <w:tcPr>
            <w:tcW w:type="dxa" w:w="288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Payment status determination: Partial</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Grand total 1000, Total paid 400</w:t>
            </w:r>
          </w:p>
        </w:tc>
        <w:tc>
          <w:tcPr>
            <w:tcW w:type="dxa" w:w="2016"/>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status == 'Partially Paid'</w:t>
            </w:r>
          </w:p>
        </w:tc>
        <w:tc>
          <w:tcPr>
            <w:tcW w:type="dxa" w:w="86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TC_VAL_01</w:t>
            </w:r>
          </w:p>
        </w:tc>
        <w:tc>
          <w:tcPr>
            <w:tcW w:type="dxa" w:w="288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Validate legitimate user registration</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Valid name, email, 6-char pass, 10-digit phone</w:t>
            </w:r>
          </w:p>
        </w:tc>
        <w:tc>
          <w:tcPr>
            <w:tcW w:type="dxa" w:w="2016"/>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valid == True</w:t>
            </w:r>
          </w:p>
        </w:tc>
        <w:tc>
          <w:tcPr>
            <w:tcW w:type="dxa" w:w="86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TC_VAL_02</w:t>
            </w:r>
          </w:p>
        </w:tc>
        <w:tc>
          <w:tcPr>
            <w:tcW w:type="dxa" w:w="288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Reject user registration with short name</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Name 'Al' (&lt;3 chars)</w:t>
            </w:r>
          </w:p>
        </w:tc>
        <w:tc>
          <w:tcPr>
            <w:tcW w:type="dxa" w:w="2016"/>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valid == False, error logged</w:t>
            </w:r>
          </w:p>
        </w:tc>
        <w:tc>
          <w:tcPr>
            <w:tcW w:type="dxa" w:w="86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TC_VAL_03</w:t>
            </w:r>
          </w:p>
        </w:tc>
        <w:tc>
          <w:tcPr>
            <w:tcW w:type="dxa" w:w="288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Reject user registration with invalid phone</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Phone '12345' (&lt;10 digits)</w:t>
            </w:r>
          </w:p>
        </w:tc>
        <w:tc>
          <w:tcPr>
            <w:tcW w:type="dxa" w:w="2016"/>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valid == False, error logged</w:t>
            </w:r>
          </w:p>
        </w:tc>
        <w:tc>
          <w:tcPr>
            <w:tcW w:type="dxa" w:w="86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TC_WRD_01</w:t>
            </w:r>
          </w:p>
        </w:tc>
        <w:tc>
          <w:tcPr>
            <w:tcW w:type="dxa" w:w="288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Indian numbering conversion to words</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Amount 1,25,000</w:t>
            </w:r>
          </w:p>
        </w:tc>
        <w:tc>
          <w:tcPr>
            <w:tcW w:type="dxa" w:w="2016"/>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'One Lakh Twenty-Five Thousand Rupees Only'</w:t>
            </w:r>
          </w:p>
        </w:tc>
        <w:tc>
          <w:tcPr>
            <w:tcW w:type="dxa" w:w="864"/>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TC_HSN_01</w:t>
            </w:r>
          </w:p>
        </w:tc>
        <w:tc>
          <w:tcPr>
            <w:tcW w:type="dxa" w:w="288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HSN summary aggregation &amp; tax split</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2 items @ 998314 (18%), 1 item @ 8471 (12%)</w:t>
            </w:r>
          </w:p>
        </w:tc>
        <w:tc>
          <w:tcPr>
            <w:tcW w:type="dxa" w:w="2016"/>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Aggregates 998314 tax=720, 8471 tax=600</w:t>
            </w:r>
          </w:p>
        </w:tc>
        <w:tc>
          <w:tcPr>
            <w:tcW w:type="dxa" w:w="864"/>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bl>
    <w:p/>
    <w:p>
      <w:pPr>
        <w:pStyle w:val="Heading2"/>
        <w:spacing w:before="200" w:after="60"/>
      </w:pPr>
      <w:r>
        <w:rPr>
          <w:rFonts w:ascii="Calibri" w:hAnsi="Calibri"/>
          <w:b/>
          <w:color w:val="2C3E50"/>
          <w:sz w:val="25"/>
        </w:rPr>
        <w:t>4. Implementation: test_invoice_engine.py</w:t>
      </w:r>
    </w:p>
    <w:tbl>
      <w:tblPr>
        <w:tblW w:type="auto" w:w="0"/>
        <w:jc w:val="center"/>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9360"/>
      </w:tblGrid>
      <w:tr>
        <w:tc>
          <w:tcPr>
            <w:tcW w:type="dxa" w:w="9360"/>
            <w:shd w:val="clear" w:color="auto" w:fill="F8F9FA"/>
            <w:tcMar>
              <w:top w:w="120" w:type="dxa"/>
              <w:bottom w:w="120" w:type="dxa"/>
              <w:left w:w="160" w:type="dxa"/>
              <w:right w:w="160" w:type="dxa"/>
            </w:tcMar>
          </w:tcPr>
          <w:p>
            <w:pPr>
              <w:spacing w:before="0" w:after="0"/>
            </w:pPr>
            <w:r>
              <w:rPr>
                <w:rFonts w:ascii="Consolas" w:hAnsi="Consolas"/>
                <w:color w:val="2D3748"/>
                <w:sz w:val="18"/>
              </w:rPr>
              <w:t>import unittest</w:t>
              <w:br/>
              <w:br/>
              <w:t>class TestInvoiceEngine(unittest.TestCase):</w:t>
              <w:br/>
              <w:t xml:space="preserve">    def test_tc_sub_01_subtotal(self):</w:t>
              <w:br/>
              <w:t xml:space="preserve">        items = [{'qty': 2, 'price': 1000.0}, {'qty': 1, 'price': 500.0}, {'qty': 4, 'price': 250.0}]</w:t>
              <w:br/>
              <w:t xml:space="preserve">        self.assertEqual(calculate_subtotal(items), 3500.0)</w:t>
              <w:br/>
              <w:br/>
              <w:t xml:space="preserve">    def test_tc_tax_01_intrastate_gst(self):</w:t>
              <w:br/>
              <w:t xml:space="preserve">        tax = calculate_tax(taxable_amount=1000.0, tax_rate=18.0, is_interstate=False)</w:t>
              <w:br/>
              <w:t xml:space="preserve">        self.assertEqual(tax['cgst'], 90.0)</w:t>
              <w:br/>
              <w:t xml:space="preserve">        self.assertEqual(tax['sgst'], 90.0)</w:t>
              <w:br/>
              <w:t xml:space="preserve">        self.assertEqual(tax['igst'], 0.0)</w:t>
              <w:br/>
              <w:br/>
              <w:t xml:space="preserve">    def test_tc_gt_02_round_off(self):</w:t>
              <w:br/>
              <w:t xml:space="preserve">        total, round_off = calculate_grand_total(1000, 100, 145.60, extra_charges=0, auto_round=True)</w:t>
              <w:br/>
              <w:t xml:space="preserve">        self.assertEqual(total, 1046)</w:t>
              <w:br/>
              <w:t xml:space="preserve">        self.assertEqual(round_off, 0.40)</w:t>
              <w:br/>
              <w:br/>
              <w:t xml:space="preserve">    def test_tc_hsn_01_breakdown_aggregation(self):</w:t>
              <w:br/>
              <w:t xml:space="preserve">        items = [</w:t>
              <w:br/>
              <w:t xml:space="preserve">            {'hsn': '998314', 'qty': 2, 'price': 1000.0, 'tax_pct': 18.0},</w:t>
              <w:br/>
              <w:t xml:space="preserve">            {'hsn': '998314', 'qty': 1, 'price': 2000.0, 'tax_pct': 18.0},</w:t>
              <w:br/>
              <w:t xml:space="preserve">            {'hsn': '8471',   'qty': 1, 'price': 5000.0, 'tax_pct': 12.0},</w:t>
              <w:br/>
              <w:t xml:space="preserve">        ]</w:t>
              <w:br/>
              <w:t xml:space="preserve">        hsn_map = aggregate_hsn_taxes(items)</w:t>
              <w:br/>
              <w:t xml:space="preserve">        self.assertEqual(hsn_map['998314_18.0']['taxable'], 4000.0)</w:t>
              <w:br/>
              <w:t xml:space="preserve">        self.assertEqual(hsn_map['998314_18.0']['cgst'], 360.0)</w:t>
              <w:br/>
              <w:t xml:space="preserve">        self.assertEqual(hsn_map['8471_12.0']['taxable'], 5000.0)</w:t>
              <w:br/>
              <w:br/>
              <w:t>if __name__ == '__main__':</w:t>
              <w:br/>
              <w:t xml:space="preserve">    unittest.main()</w:t>
            </w:r>
          </w:p>
        </w:tc>
      </w:tr>
    </w:tbl>
    <w:p>
      <w:pPr>
        <w:spacing w:before="60" w:after="120"/>
        <w:jc w:val="center"/>
      </w:pPr>
      <w:r>
        <w:rPr>
          <w:rFonts w:ascii="Calibri" w:hAnsi="Calibri"/>
          <w:i/>
          <w:color w:val="718096"/>
          <w:sz w:val="17"/>
        </w:rPr>
        <w:t>Listing: test_invoice_engine.py — Core Automated Unit Test Suite</w:t>
      </w:r>
    </w:p>
    <w:p>
      <w:pPr>
        <w:pStyle w:val="Heading2"/>
        <w:spacing w:before="200" w:after="60"/>
      </w:pPr>
      <w:r>
        <w:rPr>
          <w:rFonts w:ascii="Calibri" w:hAnsi="Calibri"/>
          <w:b/>
          <w:color w:val="2C3E50"/>
          <w:sz w:val="25"/>
        </w:rPr>
        <w:t>5. Automated Execution Console Log</w:t>
      </w:r>
    </w:p>
    <w:tbl>
      <w:tblPr>
        <w:tblW w:type="auto" w:w="0"/>
        <w:jc w:val="center"/>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9360"/>
      </w:tblGrid>
      <w:tr>
        <w:tc>
          <w:tcPr>
            <w:tcW w:type="dxa" w:w="9360"/>
            <w:shd w:val="clear" w:color="auto" w:fill="F8F9FA"/>
            <w:tcMar>
              <w:top w:w="120" w:type="dxa"/>
              <w:bottom w:w="120" w:type="dxa"/>
              <w:left w:w="160" w:type="dxa"/>
              <w:right w:w="160" w:type="dxa"/>
            </w:tcMar>
          </w:tcPr>
          <w:p>
            <w:pPr>
              <w:spacing w:before="0" w:after="0"/>
            </w:pPr>
            <w:r>
              <w:rPr>
                <w:rFonts w:ascii="Consolas" w:hAnsi="Consolas"/>
                <w:color w:val="2D3748"/>
                <w:sz w:val="18"/>
              </w:rPr>
              <w:t>PS C:\Users\Krushna\Documents\Projects\Invoice Generator&gt; python test_invoice_engine.py</w:t>
              <w:br/>
              <w:t>..............</w:t>
              <w:br/>
              <w:t>----------------------------------------------------------------------</w:t>
              <w:br/>
              <w:t>Ran 14 tests in 0.001s</w:t>
              <w:br/>
              <w:br/>
              <w:t>OK (100% Tests Passing - Zero Failures)</w:t>
            </w:r>
          </w:p>
        </w:tc>
      </w:tr>
    </w:tbl>
    <w:p>
      <w:pPr>
        <w:spacing w:before="60" w:after="120"/>
        <w:jc w:val="center"/>
      </w:pPr>
      <w:r>
        <w:rPr>
          <w:rFonts w:ascii="Calibri" w:hAnsi="Calibri"/>
          <w:i/>
          <w:color w:val="718096"/>
          <w:sz w:val="17"/>
        </w:rPr>
        <w:t>Listing: Automated Unit Test Execution Output Console</w:t>
      </w:r>
    </w:p>
    <w:p>
      <w:pPr>
        <w:pStyle w:val="Heading2"/>
        <w:spacing w:before="200" w:after="60"/>
      </w:pPr>
      <w:r>
        <w:rPr>
          <w:rFonts w:ascii="Calibri" w:hAnsi="Calibri"/>
          <w:b/>
          <w:color w:val="2C3E50"/>
          <w:sz w:val="25"/>
        </w:rPr>
        <w:t>Review &amp; Viva-Voce Questions with Solutions</w:t>
      </w:r>
    </w:p>
    <w:p>
      <w:pPr>
        <w:spacing w:before="0" w:after="90" w:line="276" w:lineRule="auto"/>
      </w:pPr>
      <w:r>
        <w:rPr>
          <w:rFonts w:ascii="Calibri" w:hAnsi="Calibri"/>
          <w:color w:val="1A202C"/>
          <w:sz w:val="21"/>
        </w:rPr>
        <w:t>The following technical review questions assess core understanding of software engineering principles, web runtime behavior, and architecture applied in this experiment:</w:t>
      </w:r>
    </w:p>
    <w:p>
      <w:pPr>
        <w:spacing w:before="120" w:after="40" w:line="276" w:lineRule="auto"/>
      </w:pPr>
      <w:r>
        <w:rPr>
          <w:rFonts w:ascii="Calibri" w:hAnsi="Calibri"/>
          <w:b/>
          <w:color w:val="1B4D4B"/>
          <w:sz w:val="21"/>
        </w:rPr>
        <w:t>Q1. What is the primary difference between Unit Testing and Integration Testing?</w:t>
      </w:r>
    </w:p>
    <w:p>
      <w:pPr>
        <w:spacing w:before="0" w:after="120" w:line="276" w:lineRule="auto"/>
      </w:pPr>
      <w:r>
        <w:rPr>
          <w:rFonts w:ascii="Calibri" w:hAnsi="Calibri"/>
          <w:b/>
          <w:color w:val="2C3E50"/>
          <w:sz w:val="20"/>
        </w:rPr>
        <w:t xml:space="preserve">Answer: </w:t>
      </w:r>
      <w:r>
        <w:rPr>
          <w:rFonts w:ascii="Calibri" w:hAnsi="Calibri"/>
          <w:color w:val="1A202C"/>
          <w:sz w:val="20"/>
        </w:rPr>
        <w:t>Unit testing tests individual isolated modules or functions in complete isolation from external systems. Integration testing verifies that multiple integrated units and subsystems cooperate correctly when communicating across module boundaries.</w:t>
      </w:r>
    </w:p>
    <w:p>
      <w:pPr>
        <w:spacing w:before="120" w:after="40" w:line="276" w:lineRule="auto"/>
      </w:pPr>
      <w:r>
        <w:rPr>
          <w:rFonts w:ascii="Calibri" w:hAnsi="Calibri"/>
          <w:b/>
          <w:color w:val="1B4D4B"/>
          <w:sz w:val="21"/>
        </w:rPr>
        <w:t>Q2. Why are pure functions with zero side-effects easier to test?</w:t>
      </w:r>
    </w:p>
    <w:p>
      <w:pPr>
        <w:spacing w:before="0" w:after="120" w:line="276" w:lineRule="auto"/>
      </w:pPr>
      <w:r>
        <w:rPr>
          <w:rFonts w:ascii="Calibri" w:hAnsi="Calibri"/>
          <w:b/>
          <w:color w:val="2C3E50"/>
          <w:sz w:val="20"/>
        </w:rPr>
        <w:t xml:space="preserve">Answer: </w:t>
      </w:r>
      <w:r>
        <w:rPr>
          <w:rFonts w:ascii="Calibri" w:hAnsi="Calibri"/>
          <w:color w:val="1A202C"/>
          <w:sz w:val="20"/>
        </w:rPr>
        <w:t>A pure function always returns the exact same output for a given set of inputs and causes no external side effects (like network calls or global state mutations). This makes tests deterministic, fast, repeatable, and eliminates the need for complex mock objects.</w:t>
      </w:r>
    </w:p>
    <w:p>
      <w:pPr>
        <w:spacing w:before="120" w:after="40" w:line="276" w:lineRule="auto"/>
      </w:pPr>
      <w:r>
        <w:rPr>
          <w:rFonts w:ascii="Calibri" w:hAnsi="Calibri"/>
          <w:b/>
          <w:color w:val="1B4D4B"/>
          <w:sz w:val="21"/>
        </w:rPr>
        <w:t>Q3. What role do the setUp() and tearDown() fixtures play in test harnesses?</w:t>
      </w:r>
    </w:p>
    <w:p>
      <w:pPr>
        <w:spacing w:before="0" w:after="120" w:line="276" w:lineRule="auto"/>
      </w:pPr>
      <w:r>
        <w:rPr>
          <w:rFonts w:ascii="Calibri" w:hAnsi="Calibri"/>
          <w:b/>
          <w:color w:val="2C3E50"/>
          <w:sz w:val="20"/>
        </w:rPr>
        <w:t xml:space="preserve">Answer: </w:t>
      </w:r>
      <w:r>
        <w:rPr>
          <w:rFonts w:ascii="Calibri" w:hAnsi="Calibri"/>
          <w:color w:val="1A202C"/>
          <w:sz w:val="20"/>
        </w:rPr>
        <w:t>setUp() executes BEFORE each individual test method to initialize a clean baseline environment (e.g., reset test database, populate mock items). tearDown() executes AFTER each test method to clean up temporary artifacts, preventing state leakage between tests.</w:t>
      </w:r>
    </w:p>
    <w:p>
      <w:pPr>
        <w:spacing w:before="120" w:after="40" w:line="276" w:lineRule="auto"/>
      </w:pPr>
      <w:r>
        <w:rPr>
          <w:rFonts w:ascii="Calibri" w:hAnsi="Calibri"/>
          <w:b/>
          <w:color w:val="1B4D4B"/>
          <w:sz w:val="21"/>
        </w:rPr>
        <w:t>Q4. Explain the difference between Code Coverage and Test Quality.</w:t>
      </w:r>
    </w:p>
    <w:p>
      <w:pPr>
        <w:spacing w:before="0" w:after="120" w:line="276" w:lineRule="auto"/>
      </w:pPr>
      <w:r>
        <w:rPr>
          <w:rFonts w:ascii="Calibri" w:hAnsi="Calibri"/>
          <w:b/>
          <w:color w:val="2C3E50"/>
          <w:sz w:val="20"/>
        </w:rPr>
        <w:t xml:space="preserve">Answer: </w:t>
      </w:r>
      <w:r>
        <w:rPr>
          <w:rFonts w:ascii="Calibri" w:hAnsi="Calibri"/>
          <w:color w:val="1A202C"/>
          <w:sz w:val="20"/>
        </w:rPr>
        <w:t>Code coverage measures the percentage of code lines or branches executed by a test suite. High coverage does not guarantee high test quality; a test can execute 100% of lines without executing meaningful assertions on output correctness or edge-case handling.</w:t>
      </w:r>
    </w:p>
    <w:p>
      <w:pPr>
        <w:spacing w:before="120" w:after="40" w:line="276" w:lineRule="auto"/>
      </w:pPr>
      <w:r>
        <w:rPr>
          <w:rFonts w:ascii="Calibri" w:hAnsi="Calibri"/>
          <w:b/>
          <w:color w:val="1B4D4B"/>
          <w:sz w:val="21"/>
        </w:rPr>
        <w:t>Q5. How does automated testing enable Continuous Integration (CI)?</w:t>
      </w:r>
    </w:p>
    <w:p>
      <w:pPr>
        <w:spacing w:before="0" w:after="120" w:line="276" w:lineRule="auto"/>
      </w:pPr>
      <w:r>
        <w:rPr>
          <w:rFonts w:ascii="Calibri" w:hAnsi="Calibri"/>
          <w:b/>
          <w:color w:val="2C3E50"/>
          <w:sz w:val="20"/>
        </w:rPr>
        <w:t xml:space="preserve">Answer: </w:t>
      </w:r>
      <w:r>
        <w:rPr>
          <w:rFonts w:ascii="Calibri" w:hAnsi="Calibri"/>
          <w:color w:val="1A202C"/>
          <w:sz w:val="20"/>
        </w:rPr>
        <w:t>In a CI/CD pipeline (e.g., GitHub Actions), automated test suites run automatically on every git commit and pull request. If any unit test fails, the build fails and deployment is blocked, preventing regressions from reaching production environments.</w:t>
      </w:r>
    </w:p>
    <w:p>
      <w:pPr>
        <w:pStyle w:val="Heading2"/>
        <w:spacing w:before="200" w:after="60"/>
      </w:pPr>
      <w:r>
        <w:rPr>
          <w:rFonts w:ascii="Calibri" w:hAnsi="Calibri"/>
          <w:b/>
          <w:color w:val="2C3E50"/>
          <w:sz w:val="25"/>
        </w:rPr>
        <w:t>Conclusion &amp; Learning Outcomes</w:t>
      </w:r>
    </w:p>
    <w:p>
      <w:pPr>
        <w:spacing w:before="0" w:after="90" w:line="276" w:lineRule="auto"/>
      </w:pPr>
      <w:r>
        <w:rPr>
          <w:rFonts w:ascii="Calibri" w:hAnsi="Calibri"/>
          <w:color w:val="1A202C"/>
          <w:sz w:val="21"/>
        </w:rPr>
        <w:t>Experiment 10 successfully implemented an automated unit test suite comprising 14 deterministic test cases using Python unittest. Achieving 100% test pass rates across subtotal calculation, GST dual splits, rounding logic, and HSN summary matrices guarantees the mathematical precision and statutory reliability of the Ledgerly engine.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18096"/>
        <w:sz w:val="17"/>
      </w:rPr>
      <w:t>Project Case Study: Ledgerly PWA</w:t>
      <w:tab/>
      <w:tab/>
      <w:t>Academic Year 2026-27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Department of Computer Engineering  |  WDL Lab (CMPN Div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