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444444"/>
          <w:sz w:val="26"/>
        </w:rPr>
        <w:t>SOFTWARE ENGINEERING &amp; WEB DEVELOPMENT LAB MANUAL</w:t>
      </w:r>
    </w:p>
    <w:p>
      <w:pPr>
        <w:jc w:val="center"/>
      </w:pPr>
      <w:r>
        <w:rPr>
          <w:rFonts w:ascii="Calibri" w:hAnsi="Calibri"/>
          <w:i/>
          <w:color w:val="666666"/>
          <w:sz w:val="20"/>
        </w:rPr>
        <w:t>PROJECT CASE STUDY: LEDGERLY — INVOICE &amp; QUOTATION GENERATOR PWA</w:t>
      </w:r>
    </w:p>
    <w:p>
      <w:pPr>
        <w:pStyle w:val="Heading1"/>
        <w:spacing w:before="280" w:after="80"/>
        <w:jc w:val="left"/>
      </w:pPr>
      <w:r>
        <w:rPr>
          <w:rFonts w:ascii="Calibri" w:hAnsi="Calibri"/>
          <w:b/>
          <w:color w:val="1B4D4B"/>
          <w:sz w:val="30"/>
        </w:rPr>
        <w:t>Experiment No. 11: Prepare RMMM (Risk Mitigation, Monitoring and Management) Document</w:t>
      </w:r>
    </w:p>
    <w:p/>
    <w:p>
      <w:pPr>
        <w:pStyle w:val="Heading2"/>
        <w:spacing w:before="200" w:after="60"/>
      </w:pPr>
      <w:r>
        <w:rPr>
          <w:rFonts w:ascii="Calibri" w:hAnsi="Calibri"/>
          <w:b/>
          <w:color w:val="2C3E50"/>
          <w:sz w:val="25"/>
        </w:rPr>
        <w:t>1. Aim &amp; Objectives</w:t>
      </w:r>
    </w:p>
    <w:p>
      <w:pPr>
        <w:spacing w:before="0" w:after="90" w:line="276" w:lineRule="auto"/>
      </w:pPr>
      <w:r>
        <w:rPr>
          <w:rFonts w:ascii="Calibri" w:hAnsi="Calibri"/>
          <w:color w:val="1A202C"/>
          <w:sz w:val="21"/>
        </w:rPr>
        <w:t>The objective of this experiment is to identify, analyze, prioritize, and formulate proactive mitigation, monitoring, and contingency strategies for risks associated with the Ledgerly PWA using the RMMM framework.</w:t>
      </w:r>
    </w:p>
    <w:p>
      <w:pPr>
        <w:spacing w:before="0" w:after="90" w:line="276" w:lineRule="auto"/>
      </w:pPr>
      <w:r>
        <w:rPr>
          <w:rFonts w:ascii="Calibri" w:hAnsi="Calibri"/>
          <w:color w:val="1A202C"/>
          <w:sz w:val="21"/>
        </w:rPr>
        <w:t>Key Specific Objectives:</w:t>
      </w:r>
    </w:p>
    <w:p>
      <w:pPr>
        <w:pStyle w:val="ListBullet"/>
        <w:spacing w:before="0" w:after="50" w:line="276" w:lineRule="auto"/>
      </w:pPr>
      <w:r>
        <w:rPr>
          <w:rFonts w:ascii="Calibri" w:hAnsi="Calibri"/>
          <w:b/>
          <w:color w:val="1A202C"/>
          <w:sz w:val="21"/>
        </w:rPr>
        <w:t xml:space="preserve">Risk Identification: </w:t>
      </w:r>
      <w:r>
        <w:rPr>
          <w:rFonts w:ascii="Calibri" w:hAnsi="Calibri"/>
          <w:color w:val="1A202C"/>
          <w:sz w:val="21"/>
        </w:rPr>
        <w:t>Identify software risks across Technical, Operational, Regulatory, and Security categories.</w:t>
      </w:r>
    </w:p>
    <w:p>
      <w:pPr>
        <w:pStyle w:val="ListBullet"/>
        <w:spacing w:before="0" w:after="50" w:line="276" w:lineRule="auto"/>
      </w:pPr>
      <w:r>
        <w:rPr>
          <w:rFonts w:ascii="Calibri" w:hAnsi="Calibri"/>
          <w:b/>
          <w:color w:val="1A202C"/>
          <w:sz w:val="21"/>
        </w:rPr>
        <w:t xml:space="preserve">Quantitative Analysis: </w:t>
      </w:r>
      <w:r>
        <w:rPr>
          <w:rFonts w:ascii="Calibri" w:hAnsi="Calibri"/>
          <w:color w:val="1A202C"/>
          <w:sz w:val="21"/>
        </w:rPr>
        <w:t>Quantify Risk Exposure (RE) using probabilistic likelihood and impact assessment matrices.</w:t>
      </w:r>
    </w:p>
    <w:p>
      <w:pPr>
        <w:pStyle w:val="ListBullet"/>
        <w:spacing w:before="0" w:after="50" w:line="276" w:lineRule="auto"/>
      </w:pPr>
      <w:r>
        <w:rPr>
          <w:rFonts w:ascii="Calibri" w:hAnsi="Calibri"/>
          <w:b/>
          <w:color w:val="1A202C"/>
          <w:sz w:val="21"/>
        </w:rPr>
        <w:t xml:space="preserve">Actionable RMMM: </w:t>
      </w:r>
      <w:r>
        <w:rPr>
          <w:rFonts w:ascii="Calibri" w:hAnsi="Calibri"/>
          <w:color w:val="1A202C"/>
          <w:sz w:val="21"/>
        </w:rPr>
        <w:t>Author detailed Risk Information Sheets (RIS) specifying proactive mitigation, early warning triggers, and contingency plans.</w:t>
      </w:r>
    </w:p>
    <w:p>
      <w:pPr>
        <w:pStyle w:val="ListBullet"/>
        <w:spacing w:before="0" w:after="50" w:line="276" w:lineRule="auto"/>
      </w:pPr>
      <w:r>
        <w:rPr>
          <w:rFonts w:ascii="Calibri" w:hAnsi="Calibri"/>
          <w:b/>
          <w:color w:val="1A202C"/>
          <w:sz w:val="21"/>
        </w:rPr>
        <w:t xml:space="preserve">Continuous Monitoring: </w:t>
      </w:r>
      <w:r>
        <w:rPr>
          <w:rFonts w:ascii="Calibri" w:hAnsi="Calibri"/>
          <w:color w:val="1A202C"/>
          <w:sz w:val="21"/>
        </w:rPr>
        <w:t>Establish ongoing monitoring protocols throughout the software lifecycle.</w:t>
      </w:r>
    </w:p>
    <w:p>
      <w:pPr>
        <w:pStyle w:val="Heading2"/>
        <w:spacing w:before="200" w:after="60"/>
      </w:pPr>
      <w:r>
        <w:rPr>
          <w:rFonts w:ascii="Calibri" w:hAnsi="Calibri"/>
          <w:b/>
          <w:color w:val="2C3E50"/>
          <w:sz w:val="25"/>
        </w:rPr>
        <w:t>2. Pre-Requisites</w:t>
      </w:r>
    </w:p>
    <w:p>
      <w:pPr>
        <w:pStyle w:val="ListBullet"/>
        <w:spacing w:before="0" w:after="50" w:line="276" w:lineRule="auto"/>
      </w:pPr>
      <w:r>
        <w:rPr>
          <w:rFonts w:ascii="Calibri" w:hAnsi="Calibri"/>
          <w:color w:val="1A202C"/>
          <w:sz w:val="21"/>
        </w:rPr>
        <w:t>Software risk engineering principles (SEI Risk Management taxonomy).</w:t>
      </w:r>
    </w:p>
    <w:p>
      <w:pPr>
        <w:pStyle w:val="ListBullet"/>
        <w:spacing w:before="0" w:after="50" w:line="276" w:lineRule="auto"/>
      </w:pPr>
      <w:r>
        <w:rPr>
          <w:rFonts w:ascii="Calibri" w:hAnsi="Calibri"/>
          <w:color w:val="1A202C"/>
          <w:sz w:val="21"/>
        </w:rPr>
        <w:t>Difference between a Risk (future probabilistic event), an Issue (current realization), and a Hazard (dangerous condition).</w:t>
      </w:r>
    </w:p>
    <w:p>
      <w:pPr>
        <w:pStyle w:val="Heading2"/>
        <w:spacing w:before="200" w:after="60"/>
      </w:pPr>
      <w:r>
        <w:rPr>
          <w:rFonts w:ascii="Calibri" w:hAnsi="Calibri"/>
          <w:b/>
          <w:color w:val="2C3E50"/>
          <w:sz w:val="25"/>
        </w:rPr>
        <w:t>Hardware &amp; Software Requirements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Component / Specification</w:t>
            </w:r>
          </w:p>
        </w:tc>
        <w:tc>
          <w:tcPr>
            <w:tcW w:type="dxa" w:w="403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Minimum Recommended Configuration</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Processor / CPU</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Intel Core i5 / AMD Ryzen 5 or higher (minimum 2.0 GHz)</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System Memory (RAM)</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8.0 GB RAM or higher recommended</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Storage / Disk</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256 GB SSD (Minimum 500 MB free workspace space)</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Display / Resolution</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1920 x 1080 Full HD (Responsive down to 360 x 640 mobile viewports)</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Operating System</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Windows 11 / 10 (64-bit) / Ubuntu Linux / macOS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Web Browser</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Google Chrome (v110+), Mozilla Firefox (v115+), Microsoft Edge</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Core Technologies</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HTML5, Vanilla CSS3 (Custom Variables), ECMAScript 2022 (Pure Vanilla JS)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Runtime &amp; Tooling</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Node.js LTS (v20+) for local asset bundling &amp; Python 3.10+ for automated testing</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Testing Suite</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Python unittest &amp; pytest automated testing harnesses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Version Control</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Git v2.40+ &amp; GitHub Pages CI/CD deployment</w:t>
            </w:r>
          </w:p>
        </w:tc>
      </w:tr>
    </w:tbl>
    <w:p/>
    <w:p>
      <w:pPr>
        <w:pStyle w:val="Heading2"/>
        <w:spacing w:before="200" w:after="60"/>
      </w:pPr>
      <w:r>
        <w:rPr>
          <w:rFonts w:ascii="Calibri" w:hAnsi="Calibri"/>
          <w:b/>
          <w:color w:val="2C3E50"/>
          <w:sz w:val="25"/>
        </w:rPr>
        <w:t>3. Theoretical Foundation &amp; Risk Exposure Formula</w:t>
      </w:r>
    </w:p>
    <w:p>
      <w:pPr>
        <w:spacing w:before="0" w:after="90" w:line="276" w:lineRule="auto"/>
      </w:pPr>
      <w:r>
        <w:rPr>
          <w:rFonts w:ascii="Calibri" w:hAnsi="Calibri"/>
          <w:color w:val="1A202C"/>
          <w:sz w:val="21"/>
        </w:rPr>
        <w:t>Risk analysis is a vital engineering discipline. Proactive risk management minimizes project disruption before potential vulnerabilities realize into critical operational failures.</w:t>
      </w:r>
    </w:p>
    <w:tbl>
      <w:tblPr>
        <w:tblW w:type="auto" w:w="0"/>
        <w:jc w:val="center"/>
        <w:tblLook w:firstColumn="1" w:firstRow="1" w:lastColumn="0" w:lastRow="0" w:noHBand="0" w:noVBand="1" w:val="04A0"/>
        <w:tblBorders>
          <w:left w:val="single" w:sz="24" w:space="0" w:color="1B4D4B"/>
          <w:top w:val="none"/>
          <w:bottom w:val="none"/>
          <w:right w:val="none"/>
          <w:insideH w:val="none"/>
          <w:insideV w:val="none"/>
        </w:tblBorders>
      </w:tblPr>
      <w:tblGrid>
        <w:gridCol w:w="9360"/>
      </w:tblGrid>
      <w:tr>
        <w:tc>
          <w:tcPr>
            <w:tcW w:type="dxa" w:w="9360"/>
            <w:shd w:val="clear" w:color="auto" w:fill="F8FAFC"/>
            <w:tcMar>
              <w:top w:w="120" w:type="dxa"/>
              <w:bottom w:w="120" w:type="dxa"/>
              <w:left w:w="180" w:type="dxa"/>
              <w:right w:w="180" w:type="dxa"/>
            </w:tcMar>
          </w:tcPr>
          <w:p>
            <w:pPr>
              <w:spacing w:before="0" w:after="40"/>
            </w:pPr>
            <w:r>
              <w:rPr>
                <w:rFonts w:ascii="Calibri" w:hAnsi="Calibri"/>
                <w:b/>
                <w:color w:val="1B4D4B"/>
                <w:sz w:val="20"/>
              </w:rPr>
              <w:t>MATHEMATICAL RISK QUANTIFICATION</w:t>
              <w:br/>
            </w:r>
            <w:r>
              <w:rPr>
                <w:rFonts w:ascii="Calibri" w:hAnsi="Calibri"/>
                <w:i/>
                <w:color w:val="1A202C"/>
                <w:sz w:val="20"/>
              </w:rPr>
              <w:t>Risk Exposure Formula: RE = P x I</w:t>
              <w:br/>
              <w:t>Where P is the Probability of Occurrence (scaled 0.1 to 1.0 or 1 to 5), and I is the Impact severity if realized (scaled 1 to 5).</w:t>
              <w:br/>
              <w:t>High RE values mandate prioritized mitigation strategies.</w:t>
            </w:r>
          </w:p>
        </w:tc>
      </w:tr>
    </w:tbl>
    <w:p/>
    <w:p>
      <w:pPr>
        <w:pStyle w:val="Heading2"/>
        <w:spacing w:before="200" w:after="60"/>
      </w:pPr>
      <w:r>
        <w:rPr>
          <w:rFonts w:ascii="Calibri" w:hAnsi="Calibri"/>
          <w:b/>
          <w:color w:val="2C3E50"/>
          <w:sz w:val="25"/>
        </w:rPr>
        <w:t>4. Risk Identification &amp; Prioritization Matrix</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37"/>
        <w:gridCol w:w="1337"/>
        <w:gridCol w:w="1337"/>
        <w:gridCol w:w="1337"/>
        <w:gridCol w:w="1337"/>
        <w:gridCol w:w="1337"/>
        <w:gridCol w:w="1337"/>
      </w:tblGrid>
      <w:tr>
        <w:tc>
          <w:tcPr>
            <w:tcW w:type="dxa" w:w="115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Risk ID</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Risk Description</w:t>
            </w:r>
          </w:p>
        </w:tc>
        <w:tc>
          <w:tcPr>
            <w:tcW w:type="dxa" w:w="1584"/>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Prob (P)</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Impact (I)</w:t>
            </w:r>
          </w:p>
        </w:tc>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Risk Exposure (RE)</w:t>
            </w:r>
          </w:p>
        </w:tc>
        <w:tc>
          <w:tcPr>
            <w:tcW w:type="dxa" w:w="288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Primary Strategy</w:t>
            </w:r>
          </w:p>
        </w:tc>
      </w:tr>
      <w:tr>
        <w:tc>
          <w:tcPr>
            <w:tcW w:type="dxa" w:w="115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R-01</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Client-Side LocalStorage Quota Exceeded</w:t>
            </w:r>
          </w:p>
        </w:tc>
        <w:tc>
          <w:tcPr>
            <w:tcW w:type="dxa" w:w="158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Technical</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0.4</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4</w:t>
            </w:r>
          </w:p>
        </w:tc>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1.6 (High)</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Active quota monitoring; auto-prompt CSV backup.</w:t>
            </w:r>
          </w:p>
        </w:tc>
      </w:tr>
      <w:tr>
        <w:tc>
          <w:tcPr>
            <w:tcW w:type="dxa" w:w="115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R-02</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Accidental Browser Cache / History Cleared</w:t>
            </w:r>
          </w:p>
        </w:tc>
        <w:tc>
          <w:tcPr>
            <w:tcW w:type="dxa" w:w="158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Operational</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0.6</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5</w:t>
            </w:r>
          </w:p>
        </w:tc>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3.0 (Critical)</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Auto-export warning banners; restore buffer.</w:t>
            </w:r>
          </w:p>
        </w:tc>
      </w:tr>
      <w:tr>
        <w:tc>
          <w:tcPr>
            <w:tcW w:type="dxa" w:w="115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R-03</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Statutory GST Rate / Rule Alteration</w:t>
            </w:r>
          </w:p>
        </w:tc>
        <w:tc>
          <w:tcPr>
            <w:tcW w:type="dxa" w:w="158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Regulatory</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0.3</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4</w:t>
            </w:r>
          </w:p>
        </w:tc>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1.2 (Moderate)</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Configurable tax schemas in enterprise settings.</w:t>
            </w:r>
          </w:p>
        </w:tc>
      </w:tr>
      <w:tr>
        <w:tc>
          <w:tcPr>
            <w:tcW w:type="dxa" w:w="115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R-04</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Touch Coordinate Drift on High-DPI Mobile</w:t>
            </w:r>
          </w:p>
        </w:tc>
        <w:tc>
          <w:tcPr>
            <w:tcW w:type="dxa" w:w="158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Technical</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0.5</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3</w:t>
            </w:r>
          </w:p>
        </w:tc>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1.5 (Moderate)</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Normalized touch event listeners with touch-action: none.</w:t>
            </w:r>
          </w:p>
        </w:tc>
      </w:tr>
      <w:tr>
        <w:tc>
          <w:tcPr>
            <w:tcW w:type="dxa" w:w="115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R-05</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Corrupted Backup Import Injection</w:t>
            </w:r>
          </w:p>
        </w:tc>
        <w:tc>
          <w:tcPr>
            <w:tcW w:type="dxa" w:w="158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Security</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0.2</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4</w:t>
            </w:r>
          </w:p>
        </w:tc>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0.8 (Low)</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JSON schema verification with rollback transaction.</w:t>
            </w:r>
          </w:p>
        </w:tc>
      </w:tr>
    </w:tbl>
    <w:p/>
    <w:p>
      <w:pPr>
        <w:pStyle w:val="Heading2"/>
        <w:spacing w:before="200" w:after="60"/>
      </w:pPr>
      <w:r>
        <w:rPr>
          <w:rFonts w:ascii="Calibri" w:hAnsi="Calibri"/>
          <w:b/>
          <w:color w:val="2C3E50"/>
          <w:sz w:val="25"/>
        </w:rPr>
        <w:t>5. Detailed Risk Information Sheets (RIS)</w:t>
      </w:r>
    </w:p>
    <w:p>
      <w:pPr>
        <w:spacing w:before="0" w:after="90" w:line="276" w:lineRule="auto"/>
      </w:pPr>
      <w:r>
        <w:rPr>
          <w:rFonts w:ascii="Calibri" w:hAnsi="Calibri"/>
          <w:b/>
          <w:color w:val="1A202C"/>
          <w:sz w:val="21"/>
        </w:rPr>
        <w:t xml:space="preserve">RIS-01: </w:t>
      </w:r>
      <w:r>
        <w:rPr>
          <w:rFonts w:ascii="Calibri" w:hAnsi="Calibri"/>
          <w:color w:val="1A202C"/>
          <w:sz w:val="21"/>
        </w:rPr>
        <w:t>Risk Information Sheet: R-02 Accidental Browser Cache Cleared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RIS Attribute</w:t>
            </w:r>
          </w:p>
        </w:tc>
        <w:tc>
          <w:tcPr>
            <w:tcW w:type="dxa" w:w="67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Management Specification</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Risk Statement</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User manually clears browser cache/cookies, inadvertently deleting all locally stored invoices and client directories.</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Probability &amp; Impact</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Probability: 0.60 | Impact: 5 (Critical Data Loss) | Exposure Score: 3.00</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Mitigation Strategy</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 Implement persistent one-click 'Export Full Backup (JSON)' and 'Export Sales Register (CSV)' buttons.</w:t>
              <w:br/>
              <w:t>2. Display an initial advisory banner educating users that Ledgerly stores data locally on-device.</w:t>
              <w:br/>
              <w:t>3. Store active draft buffers in secondary temporary keys to recover in-flight invoices.</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 / Monitoring</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 User has created &gt;10 invoices or accrued &gt;30 days without performing a manual backup.</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Contingency Plan</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Provide a dedicated 'Restore from Backup' file picker in settings to instantly restore database state.</w:t>
            </w:r>
          </w:p>
        </w:tc>
      </w:tr>
    </w:tbl>
    <w:p/>
    <w:p>
      <w:pPr>
        <w:spacing w:before="0" w:after="90" w:line="276" w:lineRule="auto"/>
      </w:pPr>
      <w:r>
        <w:rPr>
          <w:rFonts w:ascii="Calibri" w:hAnsi="Calibri"/>
          <w:b/>
          <w:color w:val="1A202C"/>
          <w:sz w:val="21"/>
        </w:rPr>
        <w:t xml:space="preserve">RIS-02: </w:t>
      </w:r>
      <w:r>
        <w:rPr>
          <w:rFonts w:ascii="Calibri" w:hAnsi="Calibri"/>
          <w:color w:val="1A202C"/>
          <w:sz w:val="21"/>
        </w:rPr>
        <w:t>Risk Information Sheet: R-01 LocalStorage Quota Exceeded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RIS Attribute</w:t>
            </w:r>
          </w:p>
        </w:tc>
        <w:tc>
          <w:tcPr>
            <w:tcW w:type="dxa" w:w="67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Management Specification</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Risk Statement</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Accumulation of high-resolution base64 signature images and business logos exceeds the browser's 5MB localStorage quota.</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Probability &amp; Impact</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Probability: 0.40 | Impact: 4 (Write Failure) | Exposure Score: 1.60</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Mitigation Strategy</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 Compress base64 logos and signatures by clamping canvas dimensions to 460x140.</w:t>
              <w:br/>
              <w:t>2. Wrap localStorage.setItem calls in try/catch blocks that detect DOMException.QUOTA_EXCEEDED_ERR.</w:t>
              <w:br/>
              <w:t>3. Notify users when storage utilization exceeds 80%.</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 / Monitoring</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 Storage footprint exceeds 4.0 MB out of the standard 5.0 MB browser quota.</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Contingency Plan</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Prompt user to download historical archives to CSV/JSON and purge paid records older than 12 months.</w:t>
            </w:r>
          </w:p>
        </w:tc>
      </w:tr>
    </w:tbl>
    <w:p/>
    <w:p>
      <w:pPr>
        <w:pStyle w:val="Heading2"/>
        <w:spacing w:before="200" w:after="60"/>
      </w:pPr>
      <w:r>
        <w:rPr>
          <w:rFonts w:ascii="Calibri" w:hAnsi="Calibri"/>
          <w:b/>
          <w:color w:val="2C3E50"/>
          <w:sz w:val="25"/>
        </w:rPr>
        <w:t>Experimental Validation &amp; Test Cases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Test ID</w:t>
            </w:r>
          </w:p>
        </w:tc>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Scenario / Feature Tested</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Input Data</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Expected Result</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Status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TC_RMMM_01</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Quota Exceeded handling</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Simulate storage fill &gt; 5MB</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System catches DOMException; prompts archive backup</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TC_RMMM_02</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Backup Restoration</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Import valid JSON backup file</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Restores all invoices, customers, and enterprises cleanly</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TC_RMMM_03</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Corrupted Backup Rejection</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Import invalid/tampered JSON</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Catches schema error; aborts import without data loss</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TC_RMMM_04</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Mobile Signature Scaling</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Sign on 3x device-pixel-ratio mobile</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Touch coordinates scale accurately without pointer drift</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TC_RMMM_05</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Dynamic Tax Adjustment</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Update enterprise tax rate to 28%</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Subsequent drafts reflect 28% without code change</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bl>
    <w:p/>
    <w:p>
      <w:pPr>
        <w:pStyle w:val="Heading2"/>
        <w:spacing w:before="200" w:after="60"/>
      </w:pPr>
      <w:r>
        <w:rPr>
          <w:rFonts w:ascii="Calibri" w:hAnsi="Calibri"/>
          <w:b/>
          <w:color w:val="2C3E50"/>
          <w:sz w:val="25"/>
        </w:rPr>
        <w:t>Review &amp; Viva-Voce Questions with Solutions</w:t>
      </w:r>
    </w:p>
    <w:p>
      <w:pPr>
        <w:spacing w:before="0" w:after="90" w:line="276" w:lineRule="auto"/>
      </w:pPr>
      <w:r>
        <w:rPr>
          <w:rFonts w:ascii="Calibri" w:hAnsi="Calibri"/>
          <w:color w:val="1A202C"/>
          <w:sz w:val="21"/>
        </w:rPr>
        <w:t>The following technical review questions assess core understanding of software engineering principles, web runtime behavior, and architecture applied in this experiment:</w:t>
      </w:r>
    </w:p>
    <w:p>
      <w:pPr>
        <w:spacing w:before="120" w:after="40" w:line="276" w:lineRule="auto"/>
      </w:pPr>
      <w:r>
        <w:rPr>
          <w:rFonts w:ascii="Calibri" w:hAnsi="Calibri"/>
          <w:b/>
          <w:color w:val="1B4D4B"/>
          <w:sz w:val="21"/>
        </w:rPr>
        <w:t>Q1. What is the distinction between a Risk, an Issue, and a Hazard?</w:t>
      </w:r>
    </w:p>
    <w:p>
      <w:pPr>
        <w:spacing w:before="0" w:after="120" w:line="276" w:lineRule="auto"/>
      </w:pPr>
      <w:r>
        <w:rPr>
          <w:rFonts w:ascii="Calibri" w:hAnsi="Calibri"/>
          <w:b/>
          <w:color w:val="2C3E50"/>
          <w:sz w:val="20"/>
        </w:rPr>
        <w:t xml:space="preserve">Answer: </w:t>
      </w:r>
      <w:r>
        <w:rPr>
          <w:rFonts w:ascii="Calibri" w:hAnsi="Calibri"/>
          <w:color w:val="1A202C"/>
          <w:sz w:val="20"/>
        </w:rPr>
        <w:t>A Risk is a potential future event with a probability between 0 and 1 that would negatively impact project objectives. An Issue is a risk that has already realized and requires immediate resolution. A Hazard is an environmental or architectural condition that creates risk.</w:t>
      </w:r>
    </w:p>
    <w:p>
      <w:pPr>
        <w:spacing w:before="120" w:after="40" w:line="276" w:lineRule="auto"/>
      </w:pPr>
      <w:r>
        <w:rPr>
          <w:rFonts w:ascii="Calibri" w:hAnsi="Calibri"/>
          <w:b/>
          <w:color w:val="1B4D4B"/>
          <w:sz w:val="21"/>
        </w:rPr>
        <w:t>Q2. What are the four recognized strategies for managing software risks?</w:t>
      </w:r>
    </w:p>
    <w:p>
      <w:pPr>
        <w:spacing w:before="0" w:after="120" w:line="276" w:lineRule="auto"/>
      </w:pPr>
      <w:r>
        <w:rPr>
          <w:rFonts w:ascii="Calibri" w:hAnsi="Calibri"/>
          <w:b/>
          <w:color w:val="2C3E50"/>
          <w:sz w:val="20"/>
        </w:rPr>
        <w:t xml:space="preserve">Answer: </w:t>
      </w:r>
      <w:r>
        <w:rPr>
          <w:rFonts w:ascii="Calibri" w:hAnsi="Calibri"/>
          <w:color w:val="1A202C"/>
          <w:sz w:val="20"/>
        </w:rPr>
        <w:t>1. Avoidance: Eliminating the risk cause (e.g., avoiding cloud servers eliminates server breach risks).</w:t>
        <w:br/>
        <w:t>2. Mitigation: Reducing probability or impact (e.g., auto-save buffers reduce data loss impact).</w:t>
        <w:br/>
        <w:t>3. Transfer: Shifting risk to third parties (e.g., cloud insurance).</w:t>
        <w:br/>
        <w:t>4. Acceptance: Acknowledging residual risk when mitigation cost exceeds impact.</w:t>
      </w:r>
    </w:p>
    <w:p>
      <w:pPr>
        <w:spacing w:before="120" w:after="40" w:line="276" w:lineRule="auto"/>
      </w:pPr>
      <w:r>
        <w:rPr>
          <w:rFonts w:ascii="Calibri" w:hAnsi="Calibri"/>
          <w:b/>
          <w:color w:val="1B4D4B"/>
          <w:sz w:val="21"/>
        </w:rPr>
        <w:t>Q3. How is Risk Exposure (RE) calculated and utilized?</w:t>
      </w:r>
    </w:p>
    <w:p>
      <w:pPr>
        <w:spacing w:before="0" w:after="120" w:line="276" w:lineRule="auto"/>
      </w:pPr>
      <w:r>
        <w:rPr>
          <w:rFonts w:ascii="Calibri" w:hAnsi="Calibri"/>
          <w:b/>
          <w:color w:val="2C3E50"/>
          <w:sz w:val="20"/>
        </w:rPr>
        <w:t xml:space="preserve">Answer: </w:t>
      </w:r>
      <w:r>
        <w:rPr>
          <w:rFonts w:ascii="Calibri" w:hAnsi="Calibri"/>
          <w:color w:val="1A202C"/>
          <w:sz w:val="20"/>
        </w:rPr>
        <w:t>RE = Probability x Impact. It normalizes risks onto a quantitative scale, enabling engineering teams to prioritize resources on high-exposure threats rather than low-probability trivial issues.</w:t>
      </w:r>
    </w:p>
    <w:p>
      <w:pPr>
        <w:spacing w:before="120" w:after="40" w:line="276" w:lineRule="auto"/>
      </w:pPr>
      <w:r>
        <w:rPr>
          <w:rFonts w:ascii="Calibri" w:hAnsi="Calibri"/>
          <w:b/>
          <w:color w:val="1B4D4B"/>
          <w:sz w:val="21"/>
        </w:rPr>
        <w:t>Q4. What constitutes a 'Risk Trigger'?</w:t>
      </w:r>
    </w:p>
    <w:p>
      <w:pPr>
        <w:spacing w:before="0" w:after="120" w:line="276" w:lineRule="auto"/>
      </w:pPr>
      <w:r>
        <w:rPr>
          <w:rFonts w:ascii="Calibri" w:hAnsi="Calibri"/>
          <w:b/>
          <w:color w:val="2C3E50"/>
          <w:sz w:val="20"/>
        </w:rPr>
        <w:t xml:space="preserve">Answer: </w:t>
      </w:r>
      <w:r>
        <w:rPr>
          <w:rFonts w:ascii="Calibri" w:hAnsi="Calibri"/>
          <w:color w:val="1A202C"/>
          <w:sz w:val="20"/>
        </w:rPr>
        <w:t>A risk trigger is a quantifiable operational threshold or early warning indicator showing that a risk is on the verge of realizing (e.g., localStorage footprint exceeding 80% triggers quota mitigation).</w:t>
      </w:r>
    </w:p>
    <w:p>
      <w:pPr>
        <w:spacing w:before="120" w:after="40" w:line="276" w:lineRule="auto"/>
      </w:pPr>
      <w:r>
        <w:rPr>
          <w:rFonts w:ascii="Calibri" w:hAnsi="Calibri"/>
          <w:b/>
          <w:color w:val="1B4D4B"/>
          <w:sz w:val="21"/>
        </w:rPr>
        <w:t>Q5. What is the difference between a Mitigation Plan and a Contingency Plan?</w:t>
      </w:r>
    </w:p>
    <w:p>
      <w:pPr>
        <w:spacing w:before="0" w:after="120" w:line="276" w:lineRule="auto"/>
      </w:pPr>
      <w:r>
        <w:rPr>
          <w:rFonts w:ascii="Calibri" w:hAnsi="Calibri"/>
          <w:b/>
          <w:color w:val="2C3E50"/>
          <w:sz w:val="20"/>
        </w:rPr>
        <w:t xml:space="preserve">Answer: </w:t>
      </w:r>
      <w:r>
        <w:rPr>
          <w:rFonts w:ascii="Calibri" w:hAnsi="Calibri"/>
          <w:color w:val="1A202C"/>
          <w:sz w:val="20"/>
        </w:rPr>
        <w:t>A Mitigation Plan consists of proactive actions taken BEFORE a risk event occurs to prevent it or minimize its probability. A Contingency Plan consists of predefined reactive procedures executed AFTER a risk realizes to recover and minimize operational damage.</w:t>
      </w:r>
    </w:p>
    <w:p>
      <w:pPr>
        <w:pStyle w:val="Heading2"/>
        <w:spacing w:before="200" w:after="60"/>
      </w:pPr>
      <w:r>
        <w:rPr>
          <w:rFonts w:ascii="Calibri" w:hAnsi="Calibri"/>
          <w:b/>
          <w:color w:val="2C3E50"/>
          <w:sz w:val="25"/>
        </w:rPr>
        <w:t>Conclusion &amp; Learning Outcomes</w:t>
      </w:r>
    </w:p>
    <w:p>
      <w:pPr>
        <w:spacing w:before="0" w:after="90" w:line="276" w:lineRule="auto"/>
      </w:pPr>
      <w:r>
        <w:rPr>
          <w:rFonts w:ascii="Calibri" w:hAnsi="Calibri"/>
          <w:color w:val="1A202C"/>
          <w:sz w:val="21"/>
        </w:rPr>
        <w:t>Experiment 11 developed a comprehensive Risk Mitigation, Monitoring, and Management (RMMM) plan for Ledgerly. Formulating quantitative Risk Exposure scores and detailed Risk Information Sheets ensures robust resilience against local storage limits, user error, and statutory regulatory changes.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Project Case Study: Ledgerly PWA</w:t>
      <w:tab/>
      <w:tab/>
      <w:t>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Department of Computer Engineering  |  WDL Lab (CMPN Div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