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680"/>
        <w:gridCol w:w="4680"/>
      </w:tblGrid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NAME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Kimaya Teli</w:t>
              <w:br/>
              <w:t>Abhishek kumar Kairamkonda</w:t>
              <w:br/>
              <w:t>Krishna Somani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ROLL NO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24102C0079</w:t>
              <w:br/>
              <w:t>24102C0085</w:t>
              <w:br/>
              <w:t>24102C0067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BRANCH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CMPN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DIV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SUBJECT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WDL LAB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FACULTY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Dr. Ravindra Sangle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444444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666666"/>
          <w:sz w:val="20"/>
        </w:rPr>
        <w:t>PROJECT CASE STUDY: LEDGERLY — INVOICE &amp; QUOTATION GENERATOR PWA</w:t>
      </w:r>
    </w:p>
    <w:p>
      <w:pPr>
        <w:pStyle w:val="Heading1"/>
        <w:spacing w:before="280" w:after="80"/>
        <w:jc w:val="left"/>
      </w:pPr>
      <w:r>
        <w:rPr>
          <w:rFonts w:ascii="Calibri" w:hAnsi="Calibri"/>
          <w:b/>
          <w:color w:val="1B4D4B"/>
          <w:sz w:val="30"/>
        </w:rPr>
        <w:t>Experiment No. 12: Cost Estimation Using the Basic COCOMO Model</w:t>
      </w:r>
    </w:p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1. Aim &amp; Objectives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objective of this experiment is to estimate software development effort, duration, staffing requirements, and total project cost for Ledgerly using Barry Boehm's Basic COCOMO (Constructive Cost Model).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Key Specific Objectives: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Software Sizing: </w:t>
      </w:r>
      <w:r>
        <w:rPr>
          <w:rFonts w:ascii="Calibri" w:hAnsi="Calibri"/>
          <w:color w:val="1A202C"/>
          <w:sz w:val="21"/>
        </w:rPr>
        <w:t>Measure software sizing accurately in terms of Source Lines of Code (SLOC / KLOC).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Model Classification: </w:t>
      </w:r>
      <w:r>
        <w:rPr>
          <w:rFonts w:ascii="Calibri" w:hAnsi="Calibri"/>
          <w:color w:val="1A202C"/>
          <w:sz w:val="21"/>
        </w:rPr>
        <w:t>Classify project development mode (Organic, Semi-Detached, or Embedded) based on team dynamics.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Mathematical Derivation: </w:t>
      </w:r>
      <w:r>
        <w:rPr>
          <w:rFonts w:ascii="Calibri" w:hAnsi="Calibri"/>
          <w:color w:val="1A202C"/>
          <w:sz w:val="21"/>
        </w:rPr>
        <w:t>Calculate Person-Months of Effort and Nominal Development Duration using empirical power-law equations.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Financial Budgeting: </w:t>
      </w:r>
      <w:r>
        <w:rPr>
          <w:rFonts w:ascii="Calibri" w:hAnsi="Calibri"/>
          <w:color w:val="1A202C"/>
          <w:sz w:val="21"/>
        </w:rPr>
        <w:t>Determine optimal staffing curves and financial expenditure projections.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2. Pre-Requisites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color w:val="1A202C"/>
          <w:sz w:val="21"/>
        </w:rPr>
        <w:t>Barry Boehm's COCOMO-81 cost estimation model and empirical coefficients.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color w:val="1A202C"/>
          <w:sz w:val="21"/>
        </w:rPr>
        <w:t>Concepts of SLOC (Source Lines of Code), KLOC (Thousands of Lines of Code), and Person-Months (PM).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Hardware &amp; Software Requirements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6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Component / Specification</w:t>
            </w:r>
          </w:p>
        </w:tc>
        <w:tc>
          <w:tcPr>
            <w:tcW w:type="dxa" w:w="403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Minimum Recommended Configuration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Processor / CPU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Intel Core i5 / AMD Ryzen 5 or higher (minimum 2.0 GHz)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System Memory (RAM)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8.0 GB RAM or higher recommended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Storage / Disk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256 GB SSD (Minimum 500 MB free workspace space)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Display / Resolution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1920 x 1080 Full HD (Responsive down to 360 x 640 mobile viewports)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Operating System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Windows 11 / 10 (64-bit) / Ubuntu Linux / macOS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Web Browser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Google Chrome (v110+), Mozilla Firefox (v115+), Microsoft Edge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Core Technologies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HTML5, Vanilla CSS3 (Custom Variables), ECMAScript 2022 (Pure Vanilla JS)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Runtime &amp; Tooling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Node.js LTS (v20+) for local asset bundling &amp; Python 3.10+ for automated testing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Testing Suite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Python unittest &amp; pytest automated testing harnesses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Version Control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Git v2.40+ &amp; GitHub Pages CI/CD deployment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3. Software Sizing &amp; Codebase Audit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Software sizing measures effective physical non-comment lines of code across all project subsystems: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Subsystem Component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Primary File</w:t>
            </w:r>
          </w:p>
        </w:tc>
        <w:tc>
          <w:tcPr>
            <w:tcW w:type="dxa" w:w="259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Language / Technology</w:t>
            </w:r>
          </w:p>
        </w:tc>
        <w:tc>
          <w:tcPr>
            <w:tcW w:type="dxa" w:w="2016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Measured SLOC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Core Invoicing Engine &amp; UI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script.js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Pure Vanilla ECMAScript 2022</w:t>
            </w:r>
          </w:p>
        </w:tc>
        <w:tc>
          <w:tcPr>
            <w:tcW w:type="dxa" w:w="2016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4,300 LOC</w:t>
            </w:r>
          </w:p>
        </w:tc>
      </w:tr>
      <w:tr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Design Token System &amp; Stylesheet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style.css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Responsive CSS3 &amp; Print Rules</w:t>
            </w:r>
          </w:p>
        </w:tc>
        <w:tc>
          <w:tcPr>
            <w:tcW w:type="dxa" w:w="2016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1,000 LOC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Application Shell Skeleton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index.html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HTML5 Semantic Skeleton</w:t>
            </w:r>
          </w:p>
        </w:tc>
        <w:tc>
          <w:tcPr>
            <w:tcW w:type="dxa" w:w="2016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80 LOC</w:t>
            </w:r>
          </w:p>
        </w:tc>
      </w:tr>
      <w:tr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Automated Regression Test Suite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test_invoice_engine.py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Python unittest Suite</w:t>
            </w:r>
          </w:p>
        </w:tc>
        <w:tc>
          <w:tcPr>
            <w:tcW w:type="dxa" w:w="2016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220 LOC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Total Effective Codebase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All Core Subsystems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Effective Source Lines of Code</w:t>
            </w:r>
          </w:p>
        </w:tc>
        <w:tc>
          <w:tcPr>
            <w:tcW w:type="dxa" w:w="2016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5,600 LOC (5.6 KLOC)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4. Project Classification: Organic Mode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COCOMO categorizes software into three operational modes: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Organic Mode: </w:t>
      </w:r>
      <w:r>
        <w:rPr>
          <w:rFonts w:ascii="Calibri" w:hAnsi="Calibri"/>
          <w:color w:val="1A202C"/>
          <w:sz w:val="21"/>
        </w:rPr>
        <w:t>Small, cohesive development teams working in familiar, in-house environments with stable requirements (Ledgerly classification).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Semi-Detached Mode: </w:t>
      </w:r>
      <w:r>
        <w:rPr>
          <w:rFonts w:ascii="Calibri" w:hAnsi="Calibri"/>
          <w:color w:val="1A202C"/>
          <w:sz w:val="21"/>
        </w:rPr>
        <w:t>Medium teams with mixed experience levels working with intermediate hardware/software constraints.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Embedded Mode: </w:t>
      </w:r>
      <w:r>
        <w:rPr>
          <w:rFonts w:ascii="Calibri" w:hAnsi="Calibri"/>
          <w:color w:val="1A202C"/>
          <w:sz w:val="21"/>
        </w:rPr>
        <w:t>Large teams bound by tight, inflexible hardware, real-time operating systems, and strict regulations.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3024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Project Mode</w:t>
            </w:r>
          </w:p>
        </w:tc>
        <w:tc>
          <w:tcPr>
            <w:tcW w:type="dxa" w:w="1584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ab (Effort Coeff)</w:t>
            </w:r>
          </w:p>
        </w:tc>
        <w:tc>
          <w:tcPr>
            <w:tcW w:type="dxa" w:w="1584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bb (Effort Exp)</w:t>
            </w:r>
          </w:p>
        </w:tc>
        <w:tc>
          <w:tcPr>
            <w:tcW w:type="dxa" w:w="1584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cb (Time Coeff)</w:t>
            </w:r>
          </w:p>
        </w:tc>
        <w:tc>
          <w:tcPr>
            <w:tcW w:type="dxa" w:w="1584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db (Time Exp)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Organic Mode (Ledgerly)</w:t>
            </w:r>
          </w:p>
        </w:tc>
        <w:tc>
          <w:tcPr>
            <w:tcW w:type="dxa" w:w="158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2.4</w:t>
            </w:r>
          </w:p>
        </w:tc>
        <w:tc>
          <w:tcPr>
            <w:tcW w:type="dxa" w:w="158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1.05</w:t>
            </w:r>
          </w:p>
        </w:tc>
        <w:tc>
          <w:tcPr>
            <w:tcW w:type="dxa" w:w="158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2.5</w:t>
            </w:r>
          </w:p>
        </w:tc>
        <w:tc>
          <w:tcPr>
            <w:tcW w:type="dxa" w:w="158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0.38</w:t>
            </w:r>
          </w:p>
        </w:tc>
      </w:tr>
      <w:tr>
        <w:tc>
          <w:tcPr>
            <w:tcW w:type="dxa" w:w="302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Semi-Detached Mode</w:t>
            </w:r>
          </w:p>
        </w:tc>
        <w:tc>
          <w:tcPr>
            <w:tcW w:type="dxa" w:w="158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3.0</w:t>
            </w:r>
          </w:p>
        </w:tc>
        <w:tc>
          <w:tcPr>
            <w:tcW w:type="dxa" w:w="158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1.12</w:t>
            </w:r>
          </w:p>
        </w:tc>
        <w:tc>
          <w:tcPr>
            <w:tcW w:type="dxa" w:w="158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2.5</w:t>
            </w:r>
          </w:p>
        </w:tc>
        <w:tc>
          <w:tcPr>
            <w:tcW w:type="dxa" w:w="158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0.35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Embedded Mode</w:t>
            </w:r>
          </w:p>
        </w:tc>
        <w:tc>
          <w:tcPr>
            <w:tcW w:type="dxa" w:w="158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3.6</w:t>
            </w:r>
          </w:p>
        </w:tc>
        <w:tc>
          <w:tcPr>
            <w:tcW w:type="dxa" w:w="158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1.20</w:t>
            </w:r>
          </w:p>
        </w:tc>
        <w:tc>
          <w:tcPr>
            <w:tcW w:type="dxa" w:w="158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2.5</w:t>
            </w:r>
          </w:p>
        </w:tc>
        <w:tc>
          <w:tcPr>
            <w:tcW w:type="dxa" w:w="158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0.32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5. Step-by-Step Mathematical Derivation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Given KLOC = 5.6, we apply the Organic COCOMO equations: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left w:val="single" w:sz="24" w:space="0" w:color="1B4D4B"/>
          <w:top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1B4D4B"/>
                <w:sz w:val="20"/>
              </w:rPr>
              <w:t>EMPIRICAL COCOMO MATHEMATICAL DERIVATION</w:t>
              <w:br/>
            </w:r>
            <w:r>
              <w:rPr>
                <w:rFonts w:ascii="Calibri" w:hAnsi="Calibri"/>
                <w:i/>
                <w:color w:val="1A202C"/>
                <w:sz w:val="20"/>
              </w:rPr>
              <w:t>1. Effort Equation (E):</w:t>
              <w:br/>
              <w:t>E = ab * (KLOC)^bb = 2.4 * (5.6)^1.05</w:t>
              <w:br/>
              <w:t>Calculating (5.6)^1.05 = 6.089</w:t>
              <w:br/>
              <w:t>E = 2.4 * 6.089 = 14.61 Person-Months (PM)</w:t>
              <w:br/>
              <w:br/>
              <w:t>2. Development Time Equation (D):</w:t>
              <w:br/>
              <w:t>D = cb * (E)^db = 2.5 * (14.61)^0.38</w:t>
              <w:br/>
              <w:t>Calculating (14.61)^0.38 = 2.776</w:t>
              <w:br/>
              <w:t>D = 2.5 * 2.776 = 6.94 Months</w:t>
              <w:br/>
              <w:br/>
              <w:t>3. Average Staffing (SS):</w:t>
              <w:br/>
              <w:t>SS = E / D = 14.61 / 6.94 = 2.10 Persons (~2 Full-Time Engineers)</w:t>
              <w:br/>
              <w:br/>
              <w:t>4. Productivity (P):</w:t>
              <w:br/>
              <w:t>P = KLOC / E = 5600 LOC / 14.61 PM = 383.3 LOC / Person-Month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6. Financial Budget &amp; Cost Projection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At standard Indian junior software engineering compensation rates (INR 45,000 per person-month):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316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Expense Category</w:t>
            </w:r>
          </w:p>
        </w:tc>
        <w:tc>
          <w:tcPr>
            <w:tcW w:type="dxa" w:w="2304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Quantity / Metric</w:t>
            </w:r>
          </w:p>
        </w:tc>
        <w:tc>
          <w:tcPr>
            <w:tcW w:type="dxa" w:w="187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Unit Rate</w:t>
            </w:r>
          </w:p>
        </w:tc>
        <w:tc>
          <w:tcPr>
            <w:tcW w:type="dxa" w:w="2016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Projected Cost</w:t>
            </w:r>
          </w:p>
        </w:tc>
      </w:tr>
      <w:tr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Engineering Personnel Effort</w:t>
            </w:r>
          </w:p>
        </w:tc>
        <w:tc>
          <w:tcPr>
            <w:tcW w:type="dxa" w:w="230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14.61 Person-Months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INR 45,000 / PM</w:t>
            </w:r>
          </w:p>
        </w:tc>
        <w:tc>
          <w:tcPr>
            <w:tcW w:type="dxa" w:w="2016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INR 6,57,450</w:t>
            </w:r>
          </w:p>
        </w:tc>
      </w:tr>
      <w:tr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Infrastructure &amp; Hardware Amortization</w:t>
            </w:r>
          </w:p>
        </w:tc>
        <w:tc>
          <w:tcPr>
            <w:tcW w:type="dxa" w:w="230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 Development Laptops</w:t>
            </w:r>
          </w:p>
        </w:tc>
        <w:tc>
          <w:tcPr>
            <w:tcW w:type="dxa" w:w="187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INR 3,000 / Month</w:t>
            </w:r>
          </w:p>
        </w:tc>
        <w:tc>
          <w:tcPr>
            <w:tcW w:type="dxa" w:w="2016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INR 41,640</w:t>
            </w:r>
          </w:p>
        </w:tc>
      </w:tr>
      <w:tr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Contingency &amp; Quality Assurance Buffer</w:t>
            </w:r>
          </w:p>
        </w:tc>
        <w:tc>
          <w:tcPr>
            <w:tcW w:type="dxa" w:w="230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10% of Direct Cost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Overhead Margin</w:t>
            </w:r>
          </w:p>
        </w:tc>
        <w:tc>
          <w:tcPr>
            <w:tcW w:type="dxa" w:w="2016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INR 69,909</w:t>
            </w:r>
          </w:p>
        </w:tc>
      </w:tr>
      <w:tr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Total Estimated Project Valuation</w:t>
            </w:r>
          </w:p>
        </w:tc>
        <w:tc>
          <w:tcPr>
            <w:tcW w:type="dxa" w:w="230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Full Lifecycle</w:t>
            </w:r>
          </w:p>
        </w:tc>
        <w:tc>
          <w:tcPr>
            <w:tcW w:type="dxa" w:w="187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Final Cost</w:t>
            </w:r>
          </w:p>
        </w:tc>
        <w:tc>
          <w:tcPr>
            <w:tcW w:type="dxa" w:w="2016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INR 7,68,999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Experimental Validation &amp; Test Cases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9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Scenario / Feature Tested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Input Data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0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TC_COC_01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Effort Formula Output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KLOC=5.6, ab=2.4, bb=1.05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E = 14.61 Person-Months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TC_COC_02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Schedule Formula Output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E=14.61, cb=2.5, db=0.38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 = 6.94 Months</w:t>
            </w:r>
          </w:p>
        </w:tc>
        <w:tc>
          <w:tcPr>
            <w:tcW w:type="dxa" w:w="10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TC_COC_03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Average Staffing Output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E=14.61, D=6.94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SS = 2.10 Engineers (~2 persons)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TC_COC_04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Productivity Output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5600 LOC / 14.61 PM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Productivity = 383.3 LOC/PM</w:t>
            </w:r>
          </w:p>
        </w:tc>
        <w:tc>
          <w:tcPr>
            <w:tcW w:type="dxa" w:w="10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TC_COC_05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Sizing Bounds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Audit script.js + style.css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Verified within 5.0 to 6.0 KLOC bounds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Review &amp; Viva-Voce Questions with Solutions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following technical review questions assess core understanding of software engineering principles, web runtime behavior, and architecture applied in this experiment: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Q1. Why does the Basic COCOMO effort equation use a non-linear exponent (bb &gt; 1.0)?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The exponent bb = 1.05 accounts for diseconomies of scale. As a codebase grows, communication channels, module integration complexity, and coordination overhead grow non-linearly, requiring more effort per line of code than smaller systems.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Q2. What are the limitations of Lines of Code (LOC) as a software sizing metric?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LOC penalizes concise, expressive languages (e.g., Python or modern JS requires far fewer lines than Assembly or C for identical functionality). Additionally, LOC cannot measure code complexity, code quality, or developer skill.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Q3. Explain the difference between Basic, Intermediate, and Detailed COCOMO.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Basic COCOMO calculates effort solely from KLOC. Intermediate COCOMO incorporates 15 Cost Drivers (Cost Multipliers spanning product, hardware, personnel, and project attributes). Detailed COCOMO evaluates cost drivers across three phases: system design, detailed design, and coding.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Q4. Why is Ledgerly categorized as an Organic mode project rather than Embedded?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Ledgerly is developed by a small, agile team using standard web technologies with flexible deadlines and minimal hardware integration constraints. Embedded mode is reserved for flight control or medical systems with rigid real-time operating hardware.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Q5. How does Brooks's Law ('Adding manpower to a late software project makes it later') apply to staffing estimates?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COCOMO calculates optimal average staffing (SS = E/D). Arbitrarily increasing team size beyond this optimal ratio increases communication channels (n(n-1)/2) and ramp-up training overhead, causing net project delays.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Conclusion &amp; Learning Outcomes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Experiment 12 successfully applied the Basic COCOMO Organic model to Ledgerly's 5.6 KLOC codebase. The rigorous derivation established an effort of 14.61 Person-Months, a nominal development schedule of 6.94 months, an optimal team size of 2 engineers, and a total project valuation of INR 7.69 Lakhs.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Calibri" w:hAnsi="Calibri"/>
        <w:color w:val="718096"/>
        <w:sz w:val="17"/>
      </w:rPr>
      <w:t>Project Case Study: Ledgerly PWA</w:t>
      <w:tab/>
      <w:tab/>
      <w:t>Academic Year 2026-27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718096"/>
        <w:sz w:val="17"/>
      </w:rPr>
      <w:t>Department of Computer Engineering  |  WDL Lab (CMPN Div C)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