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555555"/>
          <w:sz w:val="26"/>
        </w:rPr>
        <w:t>SOFTWARE ENGINEERING &amp; WEB DEVELOPMENT LAB MANUAL</w:t>
      </w:r>
    </w:p>
    <w:p>
      <w:pPr>
        <w:jc w:val="center"/>
      </w:pPr>
      <w:r>
        <w:rPr>
          <w:rFonts w:ascii="Calibri" w:hAnsi="Calibri"/>
          <w:i/>
          <w:color w:val="7F8C8D"/>
          <w:sz w:val="20"/>
        </w:rPr>
        <w:t>PROJECT CASE STUDY: LEDGERLY — INVOICE &amp; QUOTATION GENERATOR PWA</w:t>
      </w:r>
    </w:p>
    <w:p>
      <w:pPr>
        <w:pStyle w:val="Heading1"/>
        <w:jc w:val="left"/>
      </w:pPr>
      <w:r>
        <w:rPr>
          <w:rFonts w:ascii="Calibri" w:hAnsi="Calibri"/>
          <w:b/>
          <w:color w:val="1B4D4B"/>
          <w:sz w:val="32"/>
        </w:rPr>
        <w:t>Experiment No. 11: Prepare RMMM (Risk Mitigation, Monitoring and Management) Document</w:t>
      </w:r>
    </w:p>
    <w:p/>
    <w:p>
      <w:pPr>
        <w:pStyle w:val="Heading2"/>
      </w:pPr>
      <w:r>
        <w:rPr>
          <w:rFonts w:ascii="Calibri" w:hAnsi="Calibri"/>
          <w:b/>
          <w:color w:val="2C3E50"/>
          <w:sz w:val="26"/>
        </w:rPr>
        <w:t>1. Pre-Requisites</w:t>
      </w:r>
    </w:p>
    <w:p>
      <w:r>
        <w:t>• Knowledge of software risk analysis, hazard classification, and risk exposure formulas.</w:t>
        <w:br/>
        <w:t>• Familiarity with proactive vs reactive risk management strategies.</w:t>
        <w:br/>
        <w:t>• Understanding of client-side browser constraints: storage limits, offline caching, and cross-browser rendering.</w:t>
      </w:r>
    </w:p>
    <w:p>
      <w:pPr>
        <w:pStyle w:val="Heading2"/>
      </w:pPr>
      <w:r>
        <w:rPr>
          <w:rFonts w:ascii="Calibri" w:hAnsi="Calibri"/>
          <w:b/>
          <w:color w:val="2C3E50"/>
          <w:sz w:val="26"/>
        </w:rPr>
        <w:t>2. Objective</w:t>
      </w:r>
    </w:p>
    <w:p>
      <w:r>
        <w:t>To formulate a thorough Risk Mitigation, Monitoring, and Management (RMMM) plan specifically tailored to Ledgerly, identifying 10 critical operational, architectural, and financial risks, computing Risk Exposure (RE = P x I), and defining concrete mitigation and contingency procedures.</w:t>
      </w:r>
    </w:p>
    <w:p>
      <w:pPr>
        <w:pStyle w:val="Heading2"/>
      </w:pPr>
      <w:r>
        <w:rPr>
          <w:rFonts w:ascii="Calibri" w:hAnsi="Calibri"/>
          <w:b/>
          <w:color w:val="2C3E50"/>
          <w:sz w:val="26"/>
        </w:rPr>
        <w:t>3. Risk Identification Table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B4D4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Risk ID</w:t>
            </w:r>
          </w:p>
        </w:tc>
        <w:tc>
          <w:tcPr>
            <w:tcW w:type="dxa" w:w="2160"/>
            <w:shd w:val="clear" w:color="auto" w:fill="1B4D4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Risk Category</w:t>
            </w:r>
          </w:p>
        </w:tc>
        <w:tc>
          <w:tcPr>
            <w:tcW w:type="dxa" w:w="2160"/>
            <w:shd w:val="clear" w:color="auto" w:fill="1B4D4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Risk Description</w:t>
            </w:r>
          </w:p>
        </w:tc>
        <w:tc>
          <w:tcPr>
            <w:tcW w:type="dxa" w:w="2160"/>
            <w:shd w:val="clear" w:color="auto" w:fill="1B4D4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Potential Project Impact</w:t>
            </w:r>
          </w:p>
        </w:tc>
      </w:tr>
      <w:tr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R1</w:t>
            </w:r>
          </w:p>
        </w:tc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Data Storage</w:t>
            </w:r>
          </w:p>
        </w:tc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Browser localStorage 5MB quota exhaustion after thousands of invoices.</w:t>
            </w:r>
          </w:p>
        </w:tc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Inability to persist new invoices.</w:t>
            </w:r>
          </w:p>
        </w:tc>
      </w:tr>
      <w:tr>
        <w:tc>
          <w:tcPr>
            <w:tcW w:type="dxa" w:w="2160"/>
            <w:shd w:val="clear" w:color="auto"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R2</w:t>
            </w:r>
          </w:p>
        </w:tc>
        <w:tc>
          <w:tcPr>
            <w:tcW w:type="dxa" w:w="2160"/>
            <w:shd w:val="clear" w:color="auto"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Data Loss</w:t>
            </w:r>
          </w:p>
        </w:tc>
        <w:tc>
          <w:tcPr>
            <w:tcW w:type="dxa" w:w="2160"/>
            <w:shd w:val="clear" w:color="auto"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Accidental browser cache/cookie clearance by user.</w:t>
            </w:r>
          </w:p>
        </w:tc>
        <w:tc>
          <w:tcPr>
            <w:tcW w:type="dxa" w:w="2160"/>
            <w:shd w:val="clear" w:color="auto"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Complete deletion of local records.</w:t>
            </w:r>
          </w:p>
        </w:tc>
      </w:tr>
      <w:tr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R3</w:t>
            </w:r>
          </w:p>
        </w:tc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Rendering / UI</w:t>
            </w:r>
          </w:p>
        </w:tc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HTML-to-canvas rendering discrepancies across Safari vs Chrome.</w:t>
            </w:r>
          </w:p>
        </w:tc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Distorted PDF output formatting.</w:t>
            </w:r>
          </w:p>
        </w:tc>
      </w:tr>
      <w:tr>
        <w:tc>
          <w:tcPr>
            <w:tcW w:type="dxa" w:w="2160"/>
            <w:shd w:val="clear" w:color="auto"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R4</w:t>
            </w:r>
          </w:p>
        </w:tc>
        <w:tc>
          <w:tcPr>
            <w:tcW w:type="dxa" w:w="2160"/>
            <w:shd w:val="clear" w:color="auto"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Financial Logic</w:t>
            </w:r>
          </w:p>
        </w:tc>
        <w:tc>
          <w:tcPr>
            <w:tcW w:type="dxa" w:w="2160"/>
            <w:shd w:val="clear" w:color="auto"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Rounding discrepancies causing ±0.01 fractional currency imbalance.</w:t>
            </w:r>
          </w:p>
        </w:tc>
        <w:tc>
          <w:tcPr>
            <w:tcW w:type="dxa" w:w="2160"/>
            <w:shd w:val="clear" w:color="auto"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Accounting reconciliation mismatch.</w:t>
            </w:r>
          </w:p>
        </w:tc>
      </w:tr>
      <w:tr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R5</w:t>
            </w:r>
          </w:p>
        </w:tc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Offline Caching</w:t>
            </w:r>
          </w:p>
        </w:tc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Service Worker serving stale application cache after update.</w:t>
            </w:r>
          </w:p>
        </w:tc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Users miss recent bug fixes/features.</w:t>
            </w:r>
          </w:p>
        </w:tc>
      </w:tr>
      <w:tr>
        <w:tc>
          <w:tcPr>
            <w:tcW w:type="dxa" w:w="2160"/>
            <w:shd w:val="clear" w:color="auto"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R6</w:t>
            </w:r>
          </w:p>
        </w:tc>
        <w:tc>
          <w:tcPr>
            <w:tcW w:type="dxa" w:w="2160"/>
            <w:shd w:val="clear" w:color="auto"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Hardware Input</w:t>
            </w:r>
          </w:p>
        </w:tc>
        <w:tc>
          <w:tcPr>
            <w:tcW w:type="dxa" w:w="2160"/>
            <w:shd w:val="clear" w:color="auto"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Touch stylus signature distortion on high-DPI retina touchscreens.</w:t>
            </w:r>
          </w:p>
        </w:tc>
        <w:tc>
          <w:tcPr>
            <w:tcW w:type="dxa" w:w="2160"/>
            <w:shd w:val="clear" w:color="auto"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Pixelated or illegible signatures.</w:t>
            </w:r>
          </w:p>
        </w:tc>
      </w:tr>
      <w:tr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R7</w:t>
            </w:r>
          </w:p>
        </w:tc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Privacy / Security</w:t>
            </w:r>
          </w:p>
        </w:tc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Sensitive billing details exposed on shared computers.</w:t>
            </w:r>
          </w:p>
        </w:tc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Unauthorized local data viewing.</w:t>
            </w:r>
          </w:p>
        </w:tc>
      </w:tr>
      <w:tr>
        <w:tc>
          <w:tcPr>
            <w:tcW w:type="dxa" w:w="2160"/>
            <w:shd w:val="clear" w:color="auto"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R8</w:t>
            </w:r>
          </w:p>
        </w:tc>
        <w:tc>
          <w:tcPr>
            <w:tcW w:type="dxa" w:w="2160"/>
            <w:shd w:val="clear" w:color="auto"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Dependency Risk</w:t>
            </w:r>
          </w:p>
        </w:tc>
        <w:tc>
          <w:tcPr>
            <w:tcW w:type="dxa" w:w="2160"/>
            <w:shd w:val="clear" w:color="auto"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External CDN failure (Google Fonts or html2pdf CDN down).</w:t>
            </w:r>
          </w:p>
        </w:tc>
        <w:tc>
          <w:tcPr>
            <w:tcW w:type="dxa" w:w="2160"/>
            <w:shd w:val="clear" w:color="auto"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PDF generation or styling breaks offline.</w:t>
            </w:r>
          </w:p>
        </w:tc>
      </w:tr>
      <w:tr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R9</w:t>
            </w:r>
          </w:p>
        </w:tc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Schedule Risk</w:t>
            </w:r>
          </w:p>
        </w:tc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Development delays due to academic exams and commitments.</w:t>
            </w:r>
          </w:p>
        </w:tc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Late project delivery.</w:t>
            </w:r>
          </w:p>
        </w:tc>
      </w:tr>
      <w:tr>
        <w:tc>
          <w:tcPr>
            <w:tcW w:type="dxa" w:w="2160"/>
            <w:shd w:val="clear" w:color="auto"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R10</w:t>
            </w:r>
          </w:p>
        </w:tc>
        <w:tc>
          <w:tcPr>
            <w:tcW w:type="dxa" w:w="2160"/>
            <w:shd w:val="clear" w:color="auto"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Usability Risk</w:t>
            </w:r>
          </w:p>
        </w:tc>
        <w:tc>
          <w:tcPr>
            <w:tcW w:type="dxa" w:w="2160"/>
            <w:shd w:val="clear" w:color="auto"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Invoice sheet overflow when exceeding 25+ line items.</w:t>
            </w:r>
          </w:p>
        </w:tc>
        <w:tc>
          <w:tcPr>
            <w:tcW w:type="dxa" w:w="2160"/>
            <w:shd w:val="clear" w:color="auto"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Text cut off at bottom of A4 page.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2C3E50"/>
          <w:sz w:val="26"/>
        </w:rPr>
        <w:t>4. Risk Analysis &amp; Prioritization Matrix</w:t>
      </w:r>
    </w:p>
    <w:p>
      <w:r>
        <w:t>Evaluation Scale: Probability (P): 1 (Low) to 5 (High) | Impact (I): 1 (Low) to 5 (High) | Exposure (RE) = P × I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B4D4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Risk ID</w:t>
            </w:r>
          </w:p>
        </w:tc>
        <w:tc>
          <w:tcPr>
            <w:tcW w:type="dxa" w:w="1728"/>
            <w:shd w:val="clear" w:color="auto" w:fill="1B4D4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Probability (1-5)</w:t>
            </w:r>
          </w:p>
        </w:tc>
        <w:tc>
          <w:tcPr>
            <w:tcW w:type="dxa" w:w="1728"/>
            <w:shd w:val="clear" w:color="auto" w:fill="1B4D4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Impact (1-5)</w:t>
            </w:r>
          </w:p>
        </w:tc>
        <w:tc>
          <w:tcPr>
            <w:tcW w:type="dxa" w:w="1728"/>
            <w:shd w:val="clear" w:color="auto" w:fill="1B4D4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Risk Exposure (RE)</w:t>
            </w:r>
          </w:p>
        </w:tc>
        <w:tc>
          <w:tcPr>
            <w:tcW w:type="dxa" w:w="1728"/>
            <w:shd w:val="clear" w:color="auto" w:fill="1B4D4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Priority Level</w:t>
            </w:r>
          </w:p>
        </w:tc>
      </w:tr>
      <w:tr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R1 (Storage Quota)</w:t>
            </w:r>
          </w:p>
        </w:tc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3</w:t>
            </w:r>
          </w:p>
        </w:tc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5</w:t>
            </w:r>
          </w:p>
        </w:tc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15</w:t>
            </w:r>
          </w:p>
        </w:tc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HIGH</w:t>
            </w:r>
          </w:p>
        </w:tc>
      </w:tr>
      <w:tr>
        <w:tc>
          <w:tcPr>
            <w:tcW w:type="dxa" w:w="1728"/>
            <w:shd w:val="clear" w:color="auto"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R2 (Cache Clearing)</w:t>
            </w:r>
          </w:p>
        </w:tc>
        <w:tc>
          <w:tcPr>
            <w:tcW w:type="dxa" w:w="1728"/>
            <w:shd w:val="clear" w:color="auto"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4</w:t>
            </w:r>
          </w:p>
        </w:tc>
        <w:tc>
          <w:tcPr>
            <w:tcW w:type="dxa" w:w="1728"/>
            <w:shd w:val="clear" w:color="auto"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5</w:t>
            </w:r>
          </w:p>
        </w:tc>
        <w:tc>
          <w:tcPr>
            <w:tcW w:type="dxa" w:w="1728"/>
            <w:shd w:val="clear" w:color="auto"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20</w:t>
            </w:r>
          </w:p>
        </w:tc>
        <w:tc>
          <w:tcPr>
            <w:tcW w:type="dxa" w:w="1728"/>
            <w:shd w:val="clear" w:color="auto"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CRITICAL</w:t>
            </w:r>
          </w:p>
        </w:tc>
      </w:tr>
      <w:tr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R3 (PDF Rendering)</w:t>
            </w:r>
          </w:p>
        </w:tc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3</w:t>
            </w:r>
          </w:p>
        </w:tc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4</w:t>
            </w:r>
          </w:p>
        </w:tc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12</w:t>
            </w:r>
          </w:p>
        </w:tc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MEDIUM</w:t>
            </w:r>
          </w:p>
        </w:tc>
      </w:tr>
      <w:tr>
        <w:tc>
          <w:tcPr>
            <w:tcW w:type="dxa" w:w="1728"/>
            <w:shd w:val="clear" w:color="auto"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R4 (Rounding Math)</w:t>
            </w:r>
          </w:p>
        </w:tc>
        <w:tc>
          <w:tcPr>
            <w:tcW w:type="dxa" w:w="1728"/>
            <w:shd w:val="clear" w:color="auto"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2</w:t>
            </w:r>
          </w:p>
        </w:tc>
        <w:tc>
          <w:tcPr>
            <w:tcW w:type="dxa" w:w="1728"/>
            <w:shd w:val="clear" w:color="auto"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4</w:t>
            </w:r>
          </w:p>
        </w:tc>
        <w:tc>
          <w:tcPr>
            <w:tcW w:type="dxa" w:w="1728"/>
            <w:shd w:val="clear" w:color="auto"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8</w:t>
            </w:r>
          </w:p>
        </w:tc>
        <w:tc>
          <w:tcPr>
            <w:tcW w:type="dxa" w:w="1728"/>
            <w:shd w:val="clear" w:color="auto"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MEDIUM</w:t>
            </w:r>
          </w:p>
        </w:tc>
      </w:tr>
      <w:tr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R5 (Stale SW Cache)</w:t>
            </w:r>
          </w:p>
        </w:tc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3</w:t>
            </w:r>
          </w:p>
        </w:tc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3</w:t>
            </w:r>
          </w:p>
        </w:tc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9</w:t>
            </w:r>
          </w:p>
        </w:tc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MEDIUM</w:t>
            </w:r>
          </w:p>
        </w:tc>
      </w:tr>
      <w:tr>
        <w:tc>
          <w:tcPr>
            <w:tcW w:type="dxa" w:w="1728"/>
            <w:shd w:val="clear" w:color="auto"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R6 (Signature DPI)</w:t>
            </w:r>
          </w:p>
        </w:tc>
        <w:tc>
          <w:tcPr>
            <w:tcW w:type="dxa" w:w="1728"/>
            <w:shd w:val="clear" w:color="auto"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2</w:t>
            </w:r>
          </w:p>
        </w:tc>
        <w:tc>
          <w:tcPr>
            <w:tcW w:type="dxa" w:w="1728"/>
            <w:shd w:val="clear" w:color="auto"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3</w:t>
            </w:r>
          </w:p>
        </w:tc>
        <w:tc>
          <w:tcPr>
            <w:tcW w:type="dxa" w:w="1728"/>
            <w:shd w:val="clear" w:color="auto"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6</w:t>
            </w:r>
          </w:p>
        </w:tc>
        <w:tc>
          <w:tcPr>
            <w:tcW w:type="dxa" w:w="1728"/>
            <w:shd w:val="clear" w:color="auto"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LOW</w:t>
            </w:r>
          </w:p>
        </w:tc>
      </w:tr>
      <w:tr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R7 (Shared Data Privacy)</w:t>
            </w:r>
          </w:p>
        </w:tc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3</w:t>
            </w:r>
          </w:p>
        </w:tc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4</w:t>
            </w:r>
          </w:p>
        </w:tc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12</w:t>
            </w:r>
          </w:p>
        </w:tc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MEDIUM</w:t>
            </w:r>
          </w:p>
        </w:tc>
      </w:tr>
      <w:tr>
        <w:tc>
          <w:tcPr>
            <w:tcW w:type="dxa" w:w="1728"/>
            <w:shd w:val="clear" w:color="auto"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R8 (CDN Downtime)</w:t>
            </w:r>
          </w:p>
        </w:tc>
        <w:tc>
          <w:tcPr>
            <w:tcW w:type="dxa" w:w="1728"/>
            <w:shd w:val="clear" w:color="auto"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4</w:t>
            </w:r>
          </w:p>
        </w:tc>
        <w:tc>
          <w:tcPr>
            <w:tcW w:type="dxa" w:w="1728"/>
            <w:shd w:val="clear" w:color="auto"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4</w:t>
            </w:r>
          </w:p>
        </w:tc>
        <w:tc>
          <w:tcPr>
            <w:tcW w:type="dxa" w:w="1728"/>
            <w:shd w:val="clear" w:color="auto"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16</w:t>
            </w:r>
          </w:p>
        </w:tc>
        <w:tc>
          <w:tcPr>
            <w:tcW w:type="dxa" w:w="1728"/>
            <w:shd w:val="clear" w:color="auto"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HIGH</w:t>
            </w:r>
          </w:p>
        </w:tc>
      </w:tr>
      <w:tr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R9 (Schedule Delay)</w:t>
            </w:r>
          </w:p>
        </w:tc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3</w:t>
            </w:r>
          </w:p>
        </w:tc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3</w:t>
            </w:r>
          </w:p>
        </w:tc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9</w:t>
            </w:r>
          </w:p>
        </w:tc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MEDIUM</w:t>
            </w:r>
          </w:p>
        </w:tc>
      </w:tr>
      <w:tr>
        <w:tc>
          <w:tcPr>
            <w:tcW w:type="dxa" w:w="1728"/>
            <w:shd w:val="clear" w:color="auto"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R10 (A4 Sheet Overflow)</w:t>
            </w:r>
          </w:p>
        </w:tc>
        <w:tc>
          <w:tcPr>
            <w:tcW w:type="dxa" w:w="1728"/>
            <w:shd w:val="clear" w:color="auto"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3</w:t>
            </w:r>
          </w:p>
        </w:tc>
        <w:tc>
          <w:tcPr>
            <w:tcW w:type="dxa" w:w="1728"/>
            <w:shd w:val="clear" w:color="auto"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4</w:t>
            </w:r>
          </w:p>
        </w:tc>
        <w:tc>
          <w:tcPr>
            <w:tcW w:type="dxa" w:w="1728"/>
            <w:shd w:val="clear" w:color="auto"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12</w:t>
            </w:r>
          </w:p>
        </w:tc>
        <w:tc>
          <w:tcPr>
            <w:tcW w:type="dxa" w:w="1728"/>
            <w:shd w:val="clear" w:color="auto"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MEDIUM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2C3E50"/>
          <w:sz w:val="26"/>
        </w:rPr>
        <w:t>5. Detailed Mitigation, Monitoring &amp; Contingency Plans</w:t>
      </w:r>
    </w:p>
    <w:p>
      <w:r>
        <w:t>R2: Accidental Browser Cache Clearance (RE: 20 - CRITICAL)</w:t>
        <w:br/>
        <w:t>• Mitigation: Provide prominent one-click JSON/CSV data backup &amp; restore buttons on the dashboard.</w:t>
        <w:br/>
        <w:t>• Monitoring: Track database size on each invoice creation and alert user if backup is older than 7 days.</w:t>
        <w:br/>
        <w:t>• Contingency: Enable immediate one-click restoration from downloaded .json ledger backup files.</w:t>
        <w:br/>
        <w:br/>
        <w:t>R1: LocalStorage Quota Exhaustion (RE: 15 - HIGH)</w:t>
        <w:br/>
        <w:t>• Mitigation: Store high-resolution company logos as compressed webp/jpeg; avoid duplicate base64 strings.</w:t>
        <w:br/>
        <w:t>• Monitoring: Monitor bytes stored via navigator.storage.estimate() or byte counter in settings.</w:t>
        <w:br/>
        <w:t>• Contingency: Implement IndexedDB migration path for databases exceeding 5MB.</w:t>
        <w:br/>
        <w:br/>
        <w:t>R8: CDN Availability &amp; Offline Failures (RE: 16 - HIGH)</w:t>
        <w:br/>
        <w:t>• Mitigation: Cache html2pdf.js and web fonts inside the Service Worker cache on initial load.</w:t>
        <w:br/>
        <w:t>• Monitoring: Fall back gracefully to native window.print() if html2pdf fails.</w:t>
        <w:br/>
        <w:t>• Contingency: Native browser printing ensures PDF generation never halts even completely offline.</w:t>
      </w:r>
    </w:p>
    <w:p>
      <w:pPr>
        <w:pStyle w:val="Heading2"/>
      </w:pPr>
      <w:r>
        <w:rPr>
          <w:rFonts w:ascii="Calibri" w:hAnsi="Calibri"/>
          <w:b/>
          <w:color w:val="2C3E50"/>
          <w:sz w:val="26"/>
        </w:rPr>
        <w:t>6. Conclusion</w:t>
      </w:r>
    </w:p>
    <w:p>
      <w:r>
        <w:t>Experiment 11 established a proactive Risk Mitigation, Monitoring, and Management plan for Ledgerly. By identifying critical client-side failure modes and preparing actionable contingency measures, system reliability and user data security are guaranteed throughout the product lifecycle.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