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4320"/>
        <w:gridCol w:w="4320"/>
      </w:tblGrid>
      <w:tr>
        <w:tc>
          <w:tcPr>
            <w:tcW w:type="dxa" w:w="259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000000"/>
                <w:sz w:val="21"/>
              </w:rPr>
              <w:t>NAME</w:t>
            </w:r>
          </w:p>
        </w:tc>
        <w:tc>
          <w:tcPr>
            <w:tcW w:type="dxa" w:w="676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000000"/>
                <w:sz w:val="21"/>
              </w:rPr>
              <w:t>Kimaya Teli</w:t>
              <w:br/>
              <w:t>Abhishek kumar Kairamkonda</w:t>
              <w:br/>
              <w:t>Krishna Somani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000000"/>
                <w:sz w:val="21"/>
              </w:rPr>
              <w:t>ROLL NO</w:t>
            </w:r>
          </w:p>
        </w:tc>
        <w:tc>
          <w:tcPr>
            <w:tcW w:type="dxa" w:w="676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000000"/>
                <w:sz w:val="21"/>
              </w:rPr>
              <w:t>24102C0079</w:t>
              <w:br/>
              <w:t>24102C0085</w:t>
              <w:br/>
              <w:t>24102C0067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000000"/>
                <w:sz w:val="21"/>
              </w:rPr>
              <w:t>BRANCH</w:t>
            </w:r>
          </w:p>
        </w:tc>
        <w:tc>
          <w:tcPr>
            <w:tcW w:type="dxa" w:w="676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000000"/>
                <w:sz w:val="21"/>
              </w:rPr>
              <w:t>CMPN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000000"/>
                <w:sz w:val="21"/>
              </w:rPr>
              <w:t>DIV</w:t>
            </w:r>
          </w:p>
        </w:tc>
        <w:tc>
          <w:tcPr>
            <w:tcW w:type="dxa" w:w="676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000000"/>
                <w:sz w:val="21"/>
              </w:rPr>
              <w:t>C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000000"/>
                <w:sz w:val="21"/>
              </w:rPr>
              <w:t>SUBJECT</w:t>
            </w:r>
          </w:p>
        </w:tc>
        <w:tc>
          <w:tcPr>
            <w:tcW w:type="dxa" w:w="676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000000"/>
                <w:sz w:val="21"/>
              </w:rPr>
              <w:t>WDL LAB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000000"/>
                <w:sz w:val="21"/>
              </w:rPr>
              <w:t>FACULTY</w:t>
            </w:r>
          </w:p>
        </w:tc>
        <w:tc>
          <w:tcPr>
            <w:tcW w:type="dxa" w:w="676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000000"/>
                <w:sz w:val="21"/>
              </w:rPr>
              <w:t>Dr. Ravindra Sangle</w:t>
            </w:r>
          </w:p>
        </w:tc>
      </w:tr>
    </w:tbl>
    <w:p/>
    <w:p>
      <w:pPr>
        <w:jc w:val="center"/>
      </w:pPr>
      <w:r>
        <w:rPr>
          <w:rFonts w:ascii="Calibri" w:hAnsi="Calibri"/>
          <w:b/>
          <w:color w:val="555555"/>
          <w:sz w:val="26"/>
        </w:rPr>
        <w:t>SOFTWARE ENGINEERING &amp; WEB DEVELOPMENT LAB MANUAL</w:t>
      </w:r>
    </w:p>
    <w:p>
      <w:pPr>
        <w:jc w:val="center"/>
      </w:pPr>
      <w:r>
        <w:rPr>
          <w:rFonts w:ascii="Calibri" w:hAnsi="Calibri"/>
          <w:i/>
          <w:color w:val="7F8C8D"/>
          <w:sz w:val="20"/>
        </w:rPr>
        <w:t>PROJECT CASE STUDY: LEDGERLY — INVOICE &amp; QUOTATION GENERATOR PWA</w:t>
      </w:r>
    </w:p>
    <w:p>
      <w:pPr>
        <w:pStyle w:val="Heading1"/>
        <w:jc w:val="left"/>
      </w:pPr>
      <w:r>
        <w:rPr>
          <w:rFonts w:ascii="Calibri" w:hAnsi="Calibri"/>
          <w:b/>
          <w:color w:val="1B4D4B"/>
          <w:sz w:val="32"/>
        </w:rPr>
        <w:t>Experiment No. 5: Prepare SRS (Software Requirements Specification) for the Project Topic</w:t>
      </w:r>
    </w:p>
    <w:p/>
    <w:p>
      <w:pPr>
        <w:pStyle w:val="Heading2"/>
      </w:pPr>
      <w:r>
        <w:rPr>
          <w:rFonts w:ascii="Calibri" w:hAnsi="Calibri"/>
          <w:b/>
          <w:color w:val="2C3E50"/>
          <w:sz w:val="26"/>
        </w:rPr>
        <w:t>1. Pre-Requisites</w:t>
      </w:r>
    </w:p>
    <w:p>
      <w:r>
        <w:t>• Knowledge of IEEE 830 Standard for Software Requirements Specifications.</w:t>
        <w:br/>
        <w:t>• Understanding of functional vs non-functional requirements taxonomy.</w:t>
        <w:br/>
        <w:t>• Experience in authoring detailed Use Case specifications and interaction contracts.</w:t>
        <w:br/>
        <w:t>• Clear understanding of the Ledgerly invoicing and payment workflow.</w:t>
      </w:r>
    </w:p>
    <w:p>
      <w:pPr>
        <w:pStyle w:val="Heading2"/>
      </w:pPr>
      <w:r>
        <w:rPr>
          <w:rFonts w:ascii="Calibri" w:hAnsi="Calibri"/>
          <w:b/>
          <w:color w:val="2C3E50"/>
          <w:sz w:val="26"/>
        </w:rPr>
        <w:t>2. Objective</w:t>
      </w:r>
    </w:p>
    <w:p>
      <w:r>
        <w:t>To produce a formal, comprehensive IEEE 830 compliant Software Requirements Specification (SRS) for Ledgerly, documenting system objectives, user personas, functional requirements (FR1–FR8), non-functional requirements, use case specifications, and external interface constraints.</w:t>
      </w:r>
    </w:p>
    <w:p>
      <w:pPr>
        <w:pStyle w:val="Heading2"/>
      </w:pPr>
      <w:r>
        <w:rPr>
          <w:rFonts w:ascii="Calibri" w:hAnsi="Calibri"/>
          <w:b/>
          <w:color w:val="2C3E50"/>
          <w:sz w:val="26"/>
        </w:rPr>
        <w:t>3. Section 1: Introduction</w:t>
      </w:r>
    </w:p>
    <w:p>
      <w:r>
        <w:t>1.1 Purpose: This document defines the complete functional and non-functional requirements for Ledgerly v1.0, a client-side Progressive Web Application designed to streamline invoice generation, tax computation, and payment tracking for SMBs.</w:t>
        <w:br/>
        <w:br/>
        <w:t>1.2 Scope: Ledgerly enables users to create customizable invoices and quotations, calculate multi-tier taxes (CGST/SGST/IGST), embed payment QR codes, capture digital signatures, and export documents as PDFs or dispatch them via WhatsApp and Email.</w:t>
        <w:br/>
        <w:br/>
        <w:t>1.3 Definitions &amp; Abbreviations:</w:t>
        <w:br/>
        <w:t>• PWA: Progressive Web Application.</w:t>
        <w:br/>
        <w:t>• GSTIN: Goods and Services Tax Identification Number.</w:t>
        <w:br/>
        <w:t>• HSN/SAC: Harmonized System of Nomenclature / Service Accounting Code.</w:t>
        <w:br/>
        <w:t>• UTR: Unique Transaction Reference (Payment Tracking ID).</w:t>
      </w:r>
    </w:p>
    <w:p>
      <w:pPr>
        <w:pStyle w:val="Heading2"/>
      </w:pPr>
      <w:r>
        <w:rPr>
          <w:rFonts w:ascii="Calibri" w:hAnsi="Calibri"/>
          <w:b/>
          <w:color w:val="2C3E50"/>
          <w:sz w:val="26"/>
        </w:rPr>
        <w:t>4. Section 2: Overall System Description</w:t>
      </w:r>
    </w:p>
    <w:p>
      <w:r>
        <w:t>2.1 Product Perspective: Ledgerly operates as a zero-backend, client-side SPA. Persistence is achieved through browser localStorage with manual JSON/CSV backup portability.</w:t>
        <w:br/>
        <w:t>2.2 User Classes &amp; Characteristics:</w:t>
        <w:br/>
        <w:t>• Primary User: Small business owner or freelancer needing rapid, compliant invoicing.</w:t>
        <w:br/>
        <w:t>• Client / Recipient: Customer receiving invoices and paying via UPI or bank transfer.</w:t>
        <w:br/>
        <w:t>2.3 Operating Environment: Fully functional on Google Chrome (v90+), Mozilla Firefox (v88+), Apple Safari (v14+), and Microsoft Edge.</w:t>
      </w:r>
    </w:p>
    <w:p>
      <w:pPr>
        <w:pStyle w:val="Heading2"/>
      </w:pPr>
      <w:r>
        <w:rPr>
          <w:rFonts w:ascii="Calibri" w:hAnsi="Calibri"/>
          <w:b/>
          <w:color w:val="2C3E50"/>
          <w:sz w:val="26"/>
        </w:rPr>
        <w:t>5. Section 3: Functional Requirements (FR)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B4D4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Req ID</w:t>
            </w:r>
          </w:p>
        </w:tc>
        <w:tc>
          <w:tcPr>
            <w:tcW w:type="dxa" w:w="2880"/>
            <w:shd w:val="clear" w:color="auto" w:fill="1B4D4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Requirement Name</w:t>
            </w:r>
          </w:p>
        </w:tc>
        <w:tc>
          <w:tcPr>
            <w:tcW w:type="dxa" w:w="2880"/>
            <w:shd w:val="clear" w:color="auto" w:fill="1B4D4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Detailed Description</w:t>
            </w:r>
          </w:p>
        </w:tc>
      </w:tr>
      <w:tr>
        <w:tc>
          <w:tcPr>
            <w:tcW w:type="dxa" w:w="288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FR1</w:t>
            </w:r>
          </w:p>
        </w:tc>
        <w:tc>
          <w:tcPr>
            <w:tcW w:type="dxa" w:w="288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User Authentication &amp; Route Guard</w:t>
            </w:r>
          </w:p>
        </w:tc>
        <w:tc>
          <w:tcPr>
            <w:tcW w:type="dxa" w:w="288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Allows account creation, sign-in, and prevents unauthorized access to protected dashboard views.</w:t>
            </w:r>
          </w:p>
        </w:tc>
      </w:tr>
      <w:tr>
        <w:tc>
          <w:tcPr>
            <w:tcW w:type="dxa" w:w="2880"/>
            <w:shd w:val="clear" w:color="auto" w:fill="F4F6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FR2</w:t>
            </w:r>
          </w:p>
        </w:tc>
        <w:tc>
          <w:tcPr>
            <w:tcW w:type="dxa" w:w="2880"/>
            <w:shd w:val="clear" w:color="auto" w:fill="F4F6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Enterprise &amp; Customer Profiles</w:t>
            </w:r>
          </w:p>
        </w:tc>
        <w:tc>
          <w:tcPr>
            <w:tcW w:type="dxa" w:w="2880"/>
            <w:shd w:val="clear" w:color="auto" w:fill="F4F6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Stores company GSTIN, logo, bank details, and maintains a directory of client contacts.</w:t>
            </w:r>
          </w:p>
        </w:tc>
      </w:tr>
      <w:tr>
        <w:tc>
          <w:tcPr>
            <w:tcW w:type="dxa" w:w="288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FR3</w:t>
            </w:r>
          </w:p>
        </w:tc>
        <w:tc>
          <w:tcPr>
            <w:tcW w:type="dxa" w:w="288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Dynamic Line Item &amp; Cataloging</w:t>
            </w:r>
          </w:p>
        </w:tc>
        <w:tc>
          <w:tcPr>
            <w:tcW w:type="dxa" w:w="288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Allows adding, editing, and deleting line items with real-time row totals and tax rates.</w:t>
            </w:r>
          </w:p>
        </w:tc>
      </w:tr>
      <w:tr>
        <w:tc>
          <w:tcPr>
            <w:tcW w:type="dxa" w:w="2880"/>
            <w:shd w:val="clear" w:color="auto" w:fill="F4F6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FR4</w:t>
            </w:r>
          </w:p>
        </w:tc>
        <w:tc>
          <w:tcPr>
            <w:tcW w:type="dxa" w:w="2880"/>
            <w:shd w:val="clear" w:color="auto" w:fill="F4F6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Automated Calculation Engine</w:t>
            </w:r>
          </w:p>
        </w:tc>
        <w:tc>
          <w:tcPr>
            <w:tcW w:type="dxa" w:w="2880"/>
            <w:shd w:val="clear" w:color="auto" w:fill="F4F6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Computes subtotal, percentage/flat discounts, intra-state (CGST+SGST) vs inter-state (IGST), extra fees, and round-off.</w:t>
            </w:r>
          </w:p>
        </w:tc>
      </w:tr>
      <w:tr>
        <w:tc>
          <w:tcPr>
            <w:tcW w:type="dxa" w:w="288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FR5</w:t>
            </w:r>
          </w:p>
        </w:tc>
        <w:tc>
          <w:tcPr>
            <w:tcW w:type="dxa" w:w="288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Canvas Digital Signature Capture</w:t>
            </w:r>
          </w:p>
        </w:tc>
        <w:tc>
          <w:tcPr>
            <w:tcW w:type="dxa" w:w="288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Provides a touch/stylus-sensitive 2D canvas to capture and embed authorized signatures.</w:t>
            </w:r>
          </w:p>
        </w:tc>
      </w:tr>
      <w:tr>
        <w:tc>
          <w:tcPr>
            <w:tcW w:type="dxa" w:w="2880"/>
            <w:shd w:val="clear" w:color="auto" w:fill="F4F6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FR6</w:t>
            </w:r>
          </w:p>
        </w:tc>
        <w:tc>
          <w:tcPr>
            <w:tcW w:type="dxa" w:w="2880"/>
            <w:shd w:val="clear" w:color="auto" w:fill="F4F6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Dynamic UPI Payment QR Engine</w:t>
            </w:r>
          </w:p>
        </w:tc>
        <w:tc>
          <w:tcPr>
            <w:tcW w:type="dxa" w:w="2880"/>
            <w:shd w:val="clear" w:color="auto" w:fill="F4F6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Encodes UPI VPA and exact payable amounts into scannable QR codes on the invoice.</w:t>
            </w:r>
          </w:p>
        </w:tc>
      </w:tr>
      <w:tr>
        <w:tc>
          <w:tcPr>
            <w:tcW w:type="dxa" w:w="288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FR7</w:t>
            </w:r>
          </w:p>
        </w:tc>
        <w:tc>
          <w:tcPr>
            <w:tcW w:type="dxa" w:w="288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Payment Settlement Ledger</w:t>
            </w:r>
          </w:p>
        </w:tc>
        <w:tc>
          <w:tcPr>
            <w:tcW w:type="dxa" w:w="288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Records installment payments (Cash, UPI, NEFT) with UTR numbers and tracks remaining balance due.</w:t>
            </w:r>
          </w:p>
        </w:tc>
      </w:tr>
      <w:tr>
        <w:tc>
          <w:tcPr>
            <w:tcW w:type="dxa" w:w="2880"/>
            <w:shd w:val="clear" w:color="auto" w:fill="F4F6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FR8</w:t>
            </w:r>
          </w:p>
        </w:tc>
        <w:tc>
          <w:tcPr>
            <w:tcW w:type="dxa" w:w="2880"/>
            <w:shd w:val="clear" w:color="auto" w:fill="F4F6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PDF Generation &amp; Print Pipeline</w:t>
            </w:r>
          </w:p>
        </w:tc>
        <w:tc>
          <w:tcPr>
            <w:tcW w:type="dxa" w:w="2880"/>
            <w:shd w:val="clear" w:color="auto" w:fill="F4F6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Generates pixel-perfect PDF downloads using html2pdf.js and formats standard A4 browser printouts.</w:t>
            </w:r>
          </w:p>
        </w:tc>
      </w:tr>
    </w:tbl>
    <w:p/>
    <w:p>
      <w:pPr>
        <w:pStyle w:val="Heading2"/>
      </w:pPr>
      <w:r>
        <w:rPr>
          <w:rFonts w:ascii="Calibri" w:hAnsi="Calibri"/>
          <w:b/>
          <w:color w:val="2C3E50"/>
          <w:sz w:val="26"/>
        </w:rPr>
        <w:t>6. Section 4: Non-Functional Requirements (NFR)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B4D4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Dimension</w:t>
            </w:r>
          </w:p>
        </w:tc>
        <w:tc>
          <w:tcPr>
            <w:tcW w:type="dxa" w:w="4320"/>
            <w:shd w:val="clear" w:color="auto" w:fill="1B4D4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Specific Metric / Requirement Target</w:t>
            </w:r>
          </w:p>
        </w:tc>
      </w:tr>
      <w:tr>
        <w:tc>
          <w:tcPr>
            <w:tcW w:type="dxa" w:w="432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Performance</w:t>
            </w:r>
          </w:p>
        </w:tc>
        <w:tc>
          <w:tcPr>
            <w:tcW w:type="dxa" w:w="432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Calculation updates render in under 16ms (60 FPS); PDF compilation finishes within 2.5 seconds.</w:t>
            </w:r>
          </w:p>
        </w:tc>
      </w:tr>
      <w:tr>
        <w:tc>
          <w:tcPr>
            <w:tcW w:type="dxa" w:w="4320"/>
            <w:shd w:val="clear" w:color="auto" w:fill="F4F6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Usability</w:t>
            </w:r>
          </w:p>
        </w:tc>
        <w:tc>
          <w:tcPr>
            <w:tcW w:type="dxa" w:w="4320"/>
            <w:shd w:val="clear" w:color="auto" w:fill="F4F6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Complies with Nielsen's Usability Heuristics; intuitive single-page form completion under 90 seconds.</w:t>
            </w:r>
          </w:p>
        </w:tc>
      </w:tr>
      <w:tr>
        <w:tc>
          <w:tcPr>
            <w:tcW w:type="dxa" w:w="432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Reliability &amp; Availability</w:t>
            </w:r>
          </w:p>
        </w:tc>
        <w:tc>
          <w:tcPr>
            <w:tcW w:type="dxa" w:w="432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100% offline availability via Service Worker cache; zero cloud server outage vulnerability.</w:t>
            </w:r>
          </w:p>
        </w:tc>
      </w:tr>
      <w:tr>
        <w:tc>
          <w:tcPr>
            <w:tcW w:type="dxa" w:w="4320"/>
            <w:shd w:val="clear" w:color="auto" w:fill="F4F6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Security &amp; Privacy</w:t>
            </w:r>
          </w:p>
        </w:tc>
        <w:tc>
          <w:tcPr>
            <w:tcW w:type="dxa" w:w="4320"/>
            <w:shd w:val="clear" w:color="auto" w:fill="F4F6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All financial records and customer PII remain strictly on the local device; zero third-party data tracking.</w:t>
            </w:r>
          </w:p>
        </w:tc>
      </w:tr>
    </w:tbl>
    <w:p/>
    <w:p>
      <w:pPr>
        <w:pStyle w:val="Heading2"/>
      </w:pPr>
      <w:r>
        <w:rPr>
          <w:rFonts w:ascii="Calibri" w:hAnsi="Calibri"/>
          <w:b/>
          <w:color w:val="2C3E50"/>
          <w:sz w:val="26"/>
        </w:rPr>
        <w:t>7. Section 5: Detailed Use Case Specification (UC1: Create Invoice)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B4D4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Use Case Parameter</w:t>
            </w:r>
          </w:p>
        </w:tc>
        <w:tc>
          <w:tcPr>
            <w:tcW w:type="dxa" w:w="4320"/>
            <w:shd w:val="clear" w:color="auto" w:fill="1B4D4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Specification Details</w:t>
            </w:r>
          </w:p>
        </w:tc>
      </w:tr>
      <w:tr>
        <w:tc>
          <w:tcPr>
            <w:tcW w:type="dxa" w:w="432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Use Case ID &amp; Title</w:t>
            </w:r>
          </w:p>
        </w:tc>
        <w:tc>
          <w:tcPr>
            <w:tcW w:type="dxa" w:w="432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UC-01: Create and Generate Tax Invoice</w:t>
            </w:r>
          </w:p>
        </w:tc>
      </w:tr>
      <w:tr>
        <w:tc>
          <w:tcPr>
            <w:tcW w:type="dxa" w:w="4320"/>
            <w:shd w:val="clear" w:color="auto" w:fill="F4F6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Primary Actor</w:t>
            </w:r>
          </w:p>
        </w:tc>
        <w:tc>
          <w:tcPr>
            <w:tcW w:type="dxa" w:w="4320"/>
            <w:shd w:val="clear" w:color="auto" w:fill="F4F6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Business Owner / Freelancer</w:t>
            </w:r>
          </w:p>
        </w:tc>
      </w:tr>
      <w:tr>
        <w:tc>
          <w:tcPr>
            <w:tcW w:type="dxa" w:w="432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Pre-Conditions</w:t>
            </w:r>
          </w:p>
        </w:tc>
        <w:tc>
          <w:tcPr>
            <w:tcW w:type="dxa" w:w="432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User is logged in; enterprise profile configured.</w:t>
            </w:r>
          </w:p>
        </w:tc>
      </w:tr>
      <w:tr>
        <w:tc>
          <w:tcPr>
            <w:tcW w:type="dxa" w:w="4320"/>
            <w:shd w:val="clear" w:color="auto" w:fill="F4F6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Main Success Scenario</w:t>
            </w:r>
          </w:p>
        </w:tc>
        <w:tc>
          <w:tcPr>
            <w:tcW w:type="dxa" w:w="4320"/>
            <w:shd w:val="clear" w:color="auto" w:fill="F4F6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1. Navigate to '#/create'.</w:t>
              <w:br/>
              <w:t>2. Select customer from dropdown or type new client.</w:t>
              <w:br/>
              <w:t>3. Add line items (Description, Qty, Rate, Tax %).</w:t>
              <w:br/>
              <w:t>4. Select Inter-State or Intra-State supply.</w:t>
              <w:br/>
              <w:t>5. Draw signature on canvas.</w:t>
              <w:br/>
              <w:t>6. Click 'Generate Invoice'.</w:t>
              <w:br/>
              <w:t>7. System validates inputs, computes totals, saves record, and opens preview.</w:t>
            </w:r>
          </w:p>
        </w:tc>
      </w:tr>
      <w:tr>
        <w:tc>
          <w:tcPr>
            <w:tcW w:type="dxa" w:w="432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Post-Conditions</w:t>
            </w:r>
          </w:p>
        </w:tc>
        <w:tc>
          <w:tcPr>
            <w:tcW w:type="dxa" w:w="432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Invoice saved in 'ig_invoices' and assigned a sequential ID (e.g., INV-2026-0001).</w:t>
            </w:r>
          </w:p>
        </w:tc>
      </w:tr>
      <w:tr>
        <w:tc>
          <w:tcPr>
            <w:tcW w:type="dxa" w:w="4320"/>
            <w:shd w:val="clear" w:color="auto" w:fill="F4F6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Alternative Flow (Invalid Data)</w:t>
            </w:r>
          </w:p>
        </w:tc>
        <w:tc>
          <w:tcPr>
            <w:tcW w:type="dxa" w:w="4320"/>
            <w:shd w:val="clear" w:color="auto" w:fill="F4F6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If customer name or item quantity is missing, show field validation error and prevent save.</w:t>
            </w:r>
          </w:p>
        </w:tc>
      </w:tr>
    </w:tbl>
    <w:p/>
    <w:p>
      <w:pPr>
        <w:pStyle w:val="Heading2"/>
      </w:pPr>
      <w:r>
        <w:rPr>
          <w:rFonts w:ascii="Calibri" w:hAnsi="Calibri"/>
          <w:b/>
          <w:color w:val="2C3E50"/>
          <w:sz w:val="26"/>
        </w:rPr>
        <w:t>8. Conclusion</w:t>
      </w:r>
    </w:p>
    <w:p>
      <w:r>
        <w:t>Experiment 5 produced a comprehensive, industry-standard IEEE 830 SRS document for Ledgerly. It serves as the definitive specification for architectural modeling, verification test suites, and risk management.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