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470985"/>
        <w:docPartObj>
          <w:docPartGallery w:val="Cover Pages"/>
          <w:docPartUnique/>
        </w:docPartObj>
      </w:sdtPr>
      <w:sdtEndPr/>
      <w:sdtContent>
        <w:p w14:paraId="5B60BE75" w14:textId="77777777" w:rsidR="00D14106" w:rsidRDefault="00D14106" w:rsidP="00D14106">
          <w:pPr>
            <w:spacing w:after="31"/>
            <w:ind w:right="3" w:hanging="10"/>
            <w:jc w:val="center"/>
          </w:pPr>
          <w:r>
            <w:rPr>
              <w:rFonts w:ascii="Times New Roman" w:hAnsi="Times New Roman"/>
              <w:sz w:val="28"/>
            </w:rPr>
            <w:t xml:space="preserve">Санкт-Петербургский политехнический университет Петра Великого </w:t>
          </w:r>
        </w:p>
        <w:p w14:paraId="29776B0B" w14:textId="77777777" w:rsidR="00D14106" w:rsidRDefault="00D14106" w:rsidP="00D14106">
          <w:pPr>
            <w:spacing w:after="31"/>
            <w:ind w:right="2" w:hanging="10"/>
            <w:jc w:val="center"/>
          </w:pPr>
          <w:r>
            <w:rPr>
              <w:rFonts w:ascii="Times New Roman" w:hAnsi="Times New Roman"/>
              <w:sz w:val="28"/>
            </w:rPr>
            <w:t xml:space="preserve">Институт компьютерных наук и технологий </w:t>
          </w:r>
        </w:p>
        <w:p w14:paraId="655244FC" w14:textId="77777777" w:rsidR="00D14106" w:rsidRPr="00924EBA" w:rsidRDefault="00D14106" w:rsidP="00D14106">
          <w:pPr>
            <w:spacing w:after="2880"/>
            <w:jc w:val="center"/>
            <w:rPr>
              <w:b/>
              <w:bCs/>
              <w:sz w:val="28"/>
              <w:szCs w:val="28"/>
            </w:rPr>
          </w:pPr>
          <w:r w:rsidRPr="00924EBA">
            <w:rPr>
              <w:b/>
              <w:bCs/>
              <w:sz w:val="28"/>
              <w:szCs w:val="28"/>
            </w:rPr>
            <w:t>Высшая школа интеллектуальных систем и суперкомпьютерных технологий</w:t>
          </w:r>
        </w:p>
        <w:p w14:paraId="202D5609" w14:textId="090B44E1" w:rsidR="00D14106" w:rsidRDefault="00D14106" w:rsidP="00D14106">
          <w:pPr>
            <w:spacing w:after="120"/>
            <w:jc w:val="center"/>
            <w:rPr>
              <w:rFonts w:ascii="Calibri" w:hAnsi="Calibri"/>
            </w:rPr>
          </w:pPr>
          <w:proofErr w:type="spellStart"/>
          <w:r>
            <w:rPr>
              <w:rFonts w:ascii="Times New Roman" w:hAnsi="Times New Roman"/>
              <w:b/>
              <w:bCs/>
              <w:sz w:val="32"/>
              <w:szCs w:val="32"/>
            </w:rPr>
            <w:t>Микрореферат</w:t>
          </w:r>
          <w:proofErr w:type="spellEnd"/>
        </w:p>
        <w:p w14:paraId="6B6A2FD3" w14:textId="237BD303" w:rsidR="00D14106" w:rsidRDefault="00D14106" w:rsidP="00D14106">
          <w:pPr>
            <w:spacing w:after="4080"/>
            <w:jc w:val="center"/>
          </w:pPr>
          <w:r w:rsidRPr="00D14106">
            <w:rPr>
              <w:rFonts w:ascii="Times New Roman" w:hAnsi="Times New Roman"/>
              <w:b/>
              <w:sz w:val="36"/>
              <w:szCs w:val="36"/>
            </w:rPr>
            <w:t>РОЛЬ СЛУХОВ В БИЗНЕСЕ</w:t>
          </w:r>
        </w:p>
        <w:tbl>
          <w:tblPr>
            <w:tblStyle w:val="TableGrid"/>
            <w:tblW w:w="9356" w:type="dxa"/>
            <w:tblInd w:w="0" w:type="dxa"/>
            <w:tblCellMar>
              <w:top w:w="37" w:type="dxa"/>
            </w:tblCellMar>
            <w:tblLook w:val="04A0" w:firstRow="1" w:lastRow="0" w:firstColumn="1" w:lastColumn="0" w:noHBand="0" w:noVBand="1"/>
          </w:tblPr>
          <w:tblGrid>
            <w:gridCol w:w="3685"/>
            <w:gridCol w:w="2835"/>
            <w:gridCol w:w="2836"/>
          </w:tblGrid>
          <w:tr w:rsidR="00D14106" w14:paraId="3AA9E93E" w14:textId="77777777" w:rsidTr="008F4C3C">
            <w:trPr>
              <w:trHeight w:val="43"/>
            </w:trPr>
            <w:tc>
              <w:tcPr>
                <w:tcW w:w="3685" w:type="dxa"/>
                <w:vMerge w:val="restart"/>
                <w:hideMark/>
              </w:tcPr>
              <w:p w14:paraId="63B9971A" w14:textId="77777777" w:rsidR="00D14106" w:rsidRDefault="00D14106" w:rsidP="008F4C3C">
                <w:pPr>
                  <w:rPr>
                    <w:rFonts w:ascii="Times New Roman" w:eastAsia="Times New Roman" w:hAnsi="Times New Roman"/>
                    <w:sz w:val="28"/>
                  </w:rPr>
                </w:pPr>
                <w:r>
                  <w:rPr>
                    <w:rFonts w:ascii="Times New Roman" w:eastAsia="Times New Roman" w:hAnsi="Times New Roman"/>
                    <w:sz w:val="28"/>
                  </w:rPr>
                  <w:t>Выполнил</w:t>
                </w:r>
              </w:p>
              <w:p w14:paraId="61E6BE8C" w14:textId="77777777" w:rsidR="00D14106" w:rsidRPr="00A01EF9" w:rsidRDefault="00D14106" w:rsidP="008F4C3C">
                <w:pPr>
                  <w:rPr>
                    <w:rFonts w:ascii="Times New Roman" w:eastAsia="Times New Roman" w:hAnsi="Times New Roman"/>
                    <w:sz w:val="28"/>
                  </w:rPr>
                </w:pPr>
                <w:r>
                  <w:rPr>
                    <w:rFonts w:ascii="Times New Roman" w:eastAsia="Times New Roman" w:hAnsi="Times New Roman"/>
                    <w:sz w:val="28"/>
                  </w:rPr>
                  <w:t xml:space="preserve">студент гр. з3530903/90001 </w:t>
                </w:r>
              </w:p>
            </w:tc>
            <w:tc>
              <w:tcPr>
                <w:tcW w:w="2835" w:type="dxa"/>
              </w:tcPr>
              <w:p w14:paraId="6C28F598" w14:textId="77777777" w:rsidR="00D14106" w:rsidRDefault="00D14106" w:rsidP="008F4C3C"/>
            </w:tc>
            <w:tc>
              <w:tcPr>
                <w:tcW w:w="2836" w:type="dxa"/>
              </w:tcPr>
              <w:p w14:paraId="7A62C845" w14:textId="77777777" w:rsidR="00D14106" w:rsidRDefault="00D14106" w:rsidP="008F4C3C"/>
            </w:tc>
          </w:tr>
          <w:tr w:rsidR="00D14106" w14:paraId="6B49F4C2" w14:textId="77777777" w:rsidTr="008F4C3C">
            <w:trPr>
              <w:trHeight w:val="777"/>
            </w:trPr>
            <w:tc>
              <w:tcPr>
                <w:tcW w:w="3685" w:type="dxa"/>
                <w:vMerge/>
                <w:hideMark/>
              </w:tcPr>
              <w:p w14:paraId="2365B1D6" w14:textId="77777777" w:rsidR="00D14106" w:rsidRDefault="00D14106" w:rsidP="008F4C3C">
                <w:pPr>
                  <w:spacing w:after="264"/>
                </w:pPr>
              </w:p>
            </w:tc>
            <w:tc>
              <w:tcPr>
                <w:tcW w:w="2835" w:type="dxa"/>
              </w:tcPr>
              <w:p w14:paraId="0F642F12" w14:textId="77777777" w:rsidR="00D14106" w:rsidRPr="001B6521" w:rsidRDefault="00D14106" w:rsidP="008F4C3C">
                <w:pPr>
                  <w:ind w:right="197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2836" w:type="dxa"/>
              </w:tcPr>
              <w:p w14:paraId="116E6E3A" w14:textId="77777777" w:rsidR="00D14106" w:rsidRDefault="00D14106" w:rsidP="008F4C3C">
                <w:pPr>
                  <w:ind w:right="3"/>
                  <w:jc w:val="right"/>
                  <w:rPr>
                    <w:rFonts w:ascii="Times New Roman" w:eastAsia="Times New Roman" w:hAnsi="Times New Roman" w:cs="Times New Roman"/>
                    <w:sz w:val="28"/>
                  </w:rPr>
                </w:pPr>
                <w:r>
                  <w:rPr>
                    <w:rFonts w:ascii="Times New Roman" w:eastAsia="Times New Roman" w:hAnsi="Times New Roman"/>
                    <w:sz w:val="28"/>
                  </w:rPr>
                  <w:t>А. Ю. Леснов</w:t>
                </w:r>
              </w:p>
              <w:p w14:paraId="548772BF" w14:textId="77777777" w:rsidR="00D14106" w:rsidRDefault="00D14106" w:rsidP="008F4C3C">
                <w:pPr>
                  <w:ind w:right="190"/>
                  <w:jc w:val="right"/>
                </w:pPr>
              </w:p>
            </w:tc>
          </w:tr>
          <w:tr w:rsidR="00D14106" w14:paraId="094FA8BF" w14:textId="77777777" w:rsidTr="00D14106">
            <w:trPr>
              <w:trHeight w:val="2748"/>
            </w:trPr>
            <w:tc>
              <w:tcPr>
                <w:tcW w:w="3685" w:type="dxa"/>
              </w:tcPr>
              <w:p w14:paraId="2CB34B2F" w14:textId="77777777" w:rsidR="00D14106" w:rsidRDefault="00D14106" w:rsidP="008F4C3C"/>
            </w:tc>
            <w:tc>
              <w:tcPr>
                <w:tcW w:w="2835" w:type="dxa"/>
              </w:tcPr>
              <w:p w14:paraId="75580364" w14:textId="77777777" w:rsidR="00D14106" w:rsidRDefault="00D14106" w:rsidP="008F4C3C">
                <w:pPr>
                  <w:ind w:right="197"/>
                  <w:jc w:val="center"/>
                </w:pPr>
              </w:p>
            </w:tc>
            <w:tc>
              <w:tcPr>
                <w:tcW w:w="2836" w:type="dxa"/>
              </w:tcPr>
              <w:p w14:paraId="7772C72B" w14:textId="77777777" w:rsidR="00D14106" w:rsidRDefault="00D14106" w:rsidP="008F4C3C">
                <w:pPr>
                  <w:ind w:right="68"/>
                  <w:jc w:val="right"/>
                </w:pPr>
              </w:p>
            </w:tc>
          </w:tr>
        </w:tbl>
        <w:p w14:paraId="50095F0F" w14:textId="77777777" w:rsidR="00D14106" w:rsidRDefault="00D14106" w:rsidP="00D14106">
          <w:pPr>
            <w:spacing w:after="0"/>
            <w:jc w:val="right"/>
            <w:rPr>
              <w:rFonts w:ascii="Times New Roman" w:hAnsi="Times New Roman" w:cs="Times New Roman"/>
              <w:sz w:val="28"/>
            </w:rPr>
          </w:pPr>
        </w:p>
        <w:p w14:paraId="69803C40" w14:textId="77777777" w:rsidR="00D14106" w:rsidRDefault="00D14106" w:rsidP="00D14106">
          <w:pPr>
            <w:spacing w:after="21"/>
            <w:jc w:val="center"/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t>Санкт-Петербург</w:t>
          </w:r>
        </w:p>
        <w:p w14:paraId="249A064E" w14:textId="43F0AFC8" w:rsidR="00D14106" w:rsidRDefault="00D14106" w:rsidP="00D14106">
          <w:pPr>
            <w:spacing w:after="21"/>
            <w:jc w:val="center"/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t>2020</w:t>
          </w:r>
          <w:r>
            <w:rPr>
              <w:rFonts w:ascii="Times New Roman" w:hAnsi="Times New Roman"/>
              <w:sz w:val="28"/>
            </w:rPr>
            <w:br w:type="page"/>
          </w:r>
        </w:p>
        <w:p w14:paraId="74E46622" w14:textId="1D96EFEA" w:rsidR="00D14106" w:rsidRPr="00D14106" w:rsidRDefault="00821AF3" w:rsidP="00D14106">
          <w:pPr>
            <w:spacing w:after="21"/>
            <w:jc w:val="center"/>
          </w:pPr>
        </w:p>
      </w:sdtContent>
    </w:sdt>
    <w:p w14:paraId="506DEDA7" w14:textId="38E5192B" w:rsidR="00B334AF" w:rsidRPr="00821AF3" w:rsidRDefault="009E34C4" w:rsidP="00C60A68">
      <w:pPr>
        <w:ind w:firstLine="567"/>
        <w:jc w:val="both"/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</w:pPr>
      <w:r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Слухи, традиционно, являются заметной составляющей информационного пространства вокруг нас. Чаще всего появление слухов обусловлено нехваткой или </w:t>
      </w:r>
      <w:r w:rsidR="00840E7C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>неполнотой,</w:t>
      </w:r>
      <w:r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 транслируемой СМИ информации. </w:t>
      </w:r>
      <w:r w:rsidR="00840E7C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Г. Г. </w:t>
      </w:r>
      <w:proofErr w:type="spellStart"/>
      <w:r w:rsidR="00840E7C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>Почепцов</w:t>
      </w:r>
      <w:proofErr w:type="spellEnd"/>
      <w:r w:rsidR="00840E7C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 в своей работе «Паблик рилейшнз для профессионалов» характеризует слухи, как принципиально неписьменную коммуникацию, однако есть и другое мнение, </w:t>
      </w:r>
      <w:r w:rsidR="00C60A68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>исходя</w:t>
      </w:r>
      <w:r w:rsidR="00840E7C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 </w:t>
      </w:r>
      <w:r w:rsidR="00C60A68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из цитат  заместителя генерального директора Межрегионального Центра по связям с общественностью и рекламе Надежды Калашниковой в статье </w:t>
      </w:r>
      <w:r w:rsidR="00840E7C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>Олег</w:t>
      </w:r>
      <w:r w:rsidR="00C60A68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>а</w:t>
      </w:r>
      <w:r w:rsidR="00840E7C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 Ширяев</w:t>
      </w:r>
      <w:r w:rsidR="00C60A68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>а</w:t>
      </w:r>
      <w:r w:rsidR="00840E7C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 </w:t>
      </w:r>
      <w:r w:rsidR="00D37283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>«Слухи встали на службу бизнесу» допускает</w:t>
      </w:r>
      <w:r w:rsidR="00C60A68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>ся возможность</w:t>
      </w:r>
      <w:r w:rsidR="00D37283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 распространени</w:t>
      </w:r>
      <w:r w:rsidR="00C60A68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>я</w:t>
      </w:r>
      <w:r w:rsidR="00D37283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 слухов через интернет и СМИ. Конечно, на сегодняшний день, очевидно распространение слухов через сеть интернет, а также ретрансляции всевозможных слухов посвящены целые телевизионные каналы.</w:t>
      </w:r>
      <w:r w:rsidR="00632AD8" w:rsidRPr="00632AD8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>[2</w:t>
      </w:r>
      <w:r w:rsidR="00821AF3" w:rsidRPr="00821AF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>]</w:t>
      </w:r>
    </w:p>
    <w:p w14:paraId="2443086B" w14:textId="77777777" w:rsidR="00B334AF" w:rsidRPr="00627883" w:rsidRDefault="00B334AF" w:rsidP="00B334AF">
      <w:pPr>
        <w:ind w:firstLine="567"/>
        <w:jc w:val="both"/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</w:pPr>
      <w:r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Являясь самодостаточным и мощным средством коммуникации, слухи нашли своё применение в </w:t>
      </w:r>
      <w:proofErr w:type="gramStart"/>
      <w:r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>т.ч.</w:t>
      </w:r>
      <w:proofErr w:type="gramEnd"/>
      <w:r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 и в бизнесе. К</w:t>
      </w:r>
      <w:r w:rsidR="00A12201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>о</w:t>
      </w:r>
      <w:r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>мпании могут получить серьёзный урон или преуспеть,</w:t>
      </w:r>
      <w:r w:rsidR="00C60A68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 лишь</w:t>
      </w:r>
      <w:r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 благодаря эффективно запущенному слуху.</w:t>
      </w:r>
      <w:r w:rsidR="00D37283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 </w:t>
      </w:r>
      <w:r w:rsidR="00A12201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Его характер определяется, чаще всего, особой </w:t>
      </w:r>
      <w:proofErr w:type="spellStart"/>
      <w:r w:rsidR="00A12201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>терминальностью</w:t>
      </w:r>
      <w:proofErr w:type="spellEnd"/>
      <w:r w:rsidR="00A12201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. </w:t>
      </w:r>
      <w:r w:rsidR="007805B2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>К примеру,</w:t>
      </w:r>
      <w:r w:rsidR="00A12201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 в 2001 году оператор связи МТС потерпел убытки и столкнулся нападками конкурентов из-за стихийно распространившегося</w:t>
      </w:r>
      <w:r w:rsidR="007805B2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 у клиентов</w:t>
      </w:r>
      <w:r w:rsidR="00A12201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 слуха о том, что компания </w:t>
      </w:r>
      <w:r w:rsidR="007805B2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их </w:t>
      </w:r>
      <w:r w:rsidR="00A12201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>обкрадывает. Причиной тому была неочевидная система списания средств со счетов клиентов.</w:t>
      </w:r>
    </w:p>
    <w:p w14:paraId="3AA6C82A" w14:textId="77777777" w:rsidR="007805B2" w:rsidRPr="00627883" w:rsidRDefault="007805B2" w:rsidP="00B334AF">
      <w:pPr>
        <w:ind w:firstLine="567"/>
        <w:jc w:val="both"/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</w:pPr>
      <w:r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Нужно отметить, что слухи, как недостающие части окружающей информации (даже негативные её составляющие), часто воспринимаются на веру – таковы особенности восприятия человека. Существуют специальные математические научные методы, позволяющие </w:t>
      </w:r>
      <w:r w:rsidR="006A6E09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>прогнозировать распространение слухов и моделировать их преобразование через определённый цикл пересказов.</w:t>
      </w:r>
    </w:p>
    <w:p w14:paraId="2B59BE30" w14:textId="77777777" w:rsidR="006A6E09" w:rsidRPr="00627883" w:rsidRDefault="006A6E09" w:rsidP="00B334AF">
      <w:pPr>
        <w:ind w:firstLine="567"/>
        <w:jc w:val="both"/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</w:pPr>
      <w:r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Некоторые компании нанимают команды специалистов </w:t>
      </w:r>
      <w:proofErr w:type="spellStart"/>
      <w:r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>public</w:t>
      </w:r>
      <w:proofErr w:type="spellEnd"/>
      <w:r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 </w:t>
      </w:r>
      <w:proofErr w:type="spellStart"/>
      <w:r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>relations</w:t>
      </w:r>
      <w:proofErr w:type="spellEnd"/>
      <w:r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. С их помощью </w:t>
      </w:r>
      <w:r w:rsidR="000A38E3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>выстраиваются методы борьбы с последствиями появления негативной информации, будь то убеждение в её несостоятельности</w:t>
      </w:r>
      <w:r w:rsidR="00FB5C09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 или</w:t>
      </w:r>
      <w:r w:rsidR="000A38E3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 создание собственных слухов. Также такие команды занимаются созданием и распространением благоприятных для бизнеса слухов.</w:t>
      </w:r>
    </w:p>
    <w:p w14:paraId="2CE2037E" w14:textId="77777777" w:rsidR="00582F17" w:rsidRPr="00627883" w:rsidRDefault="00B06EF5" w:rsidP="00582F17">
      <w:pPr>
        <w:ind w:firstLine="567"/>
        <w:jc w:val="both"/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</w:pPr>
      <w:r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Умело управляя слухами, компании могут как продвигать </w:t>
      </w:r>
      <w:r w:rsidR="00582F17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>собственный</w:t>
      </w:r>
      <w:r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 продукт, так и вести конкурентную борьбу. </w:t>
      </w:r>
      <w:r w:rsidR="00FB5C09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Таким образом, сложно переоценить серьёзность проблемы слухов, как </w:t>
      </w:r>
      <w:r w:rsidR="007342A1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>способа распространения разного рода информации</w:t>
      </w:r>
      <w:r w:rsidR="00FB5C09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>, для бизнеса.</w:t>
      </w:r>
      <w:r w:rsidR="007342A1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 </w:t>
      </w:r>
      <w:r w:rsidR="00582F17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br w:type="page"/>
      </w:r>
    </w:p>
    <w:p w14:paraId="75ACBA42" w14:textId="77777777" w:rsidR="00B334AF" w:rsidRPr="00627883" w:rsidRDefault="00582F17" w:rsidP="00582F17">
      <w:pPr>
        <w:ind w:firstLine="567"/>
        <w:jc w:val="center"/>
        <w:rPr>
          <w:rFonts w:cstheme="minorHAnsi"/>
          <w:color w:val="262626" w:themeColor="text1" w:themeTint="D9"/>
          <w:sz w:val="36"/>
          <w:szCs w:val="36"/>
          <w:shd w:val="clear" w:color="auto" w:fill="FFFFFF"/>
        </w:rPr>
      </w:pPr>
      <w:r w:rsidRPr="00627883">
        <w:rPr>
          <w:rFonts w:cstheme="minorHAnsi"/>
          <w:color w:val="262626" w:themeColor="text1" w:themeTint="D9"/>
          <w:sz w:val="36"/>
          <w:szCs w:val="36"/>
          <w:shd w:val="clear" w:color="auto" w:fill="FFFFFF"/>
        </w:rPr>
        <w:lastRenderedPageBreak/>
        <w:t>Список источников</w:t>
      </w:r>
    </w:p>
    <w:p w14:paraId="7E726CBC" w14:textId="77777777" w:rsidR="00582F17" w:rsidRPr="00627883" w:rsidRDefault="00582F17" w:rsidP="00582F17">
      <w:pPr>
        <w:pStyle w:val="a3"/>
        <w:numPr>
          <w:ilvl w:val="0"/>
          <w:numId w:val="1"/>
        </w:numPr>
        <w:jc w:val="both"/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</w:pPr>
      <w:proofErr w:type="spellStart"/>
      <w:r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>Почепцов</w:t>
      </w:r>
      <w:proofErr w:type="spellEnd"/>
      <w:r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 Г.Г. </w:t>
      </w:r>
      <w:r w:rsidR="00627883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Изучение слухов // </w:t>
      </w:r>
      <w:r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>Паблик рилейшнз для профессионалов</w:t>
      </w:r>
      <w:r w:rsidR="00627883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>.</w:t>
      </w:r>
      <w:r w:rsidR="005C7324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 М.: </w:t>
      </w:r>
      <w:proofErr w:type="spellStart"/>
      <w:r w:rsidR="005C7324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>Рефл</w:t>
      </w:r>
      <w:proofErr w:type="spellEnd"/>
      <w:r w:rsidR="005C7324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-бук, К.: </w:t>
      </w:r>
      <w:proofErr w:type="spellStart"/>
      <w:r w:rsidR="005C7324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>Ваклер</w:t>
      </w:r>
      <w:proofErr w:type="spellEnd"/>
      <w:r w:rsidR="005C7324"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>. 1999. С. 491 – 497.</w:t>
      </w:r>
    </w:p>
    <w:p w14:paraId="06C264C2" w14:textId="77777777" w:rsidR="005C7324" w:rsidRPr="00627883" w:rsidRDefault="005C7324" w:rsidP="00582F17">
      <w:pPr>
        <w:pStyle w:val="a3"/>
        <w:numPr>
          <w:ilvl w:val="0"/>
          <w:numId w:val="1"/>
        </w:numPr>
        <w:jc w:val="both"/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</w:pPr>
      <w:r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Ширяев О. </w:t>
      </w:r>
      <w:r w:rsidRPr="00627883">
        <w:rPr>
          <w:rFonts w:cstheme="minorHAnsi"/>
          <w:color w:val="262626" w:themeColor="text1" w:themeTint="D9"/>
          <w:sz w:val="28"/>
          <w:szCs w:val="28"/>
        </w:rPr>
        <w:t>Слухи встали на службу бизнесу</w:t>
      </w:r>
      <w:r w:rsidR="00627883" w:rsidRPr="00627883">
        <w:rPr>
          <w:rFonts w:cstheme="minorHAnsi"/>
          <w:color w:val="262626" w:themeColor="text1" w:themeTint="D9"/>
          <w:sz w:val="28"/>
          <w:szCs w:val="28"/>
        </w:rPr>
        <w:t xml:space="preserve"> // Деловой Петербург. 2002. № 192. С. 28.</w:t>
      </w:r>
    </w:p>
    <w:p w14:paraId="6AA00EB6" w14:textId="77777777" w:rsidR="00627883" w:rsidRPr="00627883" w:rsidRDefault="00627883" w:rsidP="00627883">
      <w:pPr>
        <w:pStyle w:val="a3"/>
        <w:numPr>
          <w:ilvl w:val="0"/>
          <w:numId w:val="1"/>
        </w:numPr>
        <w:jc w:val="both"/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</w:pPr>
      <w:r w:rsidRPr="00627883">
        <w:rPr>
          <w:rFonts w:cstheme="minorHAnsi"/>
          <w:color w:val="262626" w:themeColor="text1" w:themeTint="D9"/>
          <w:sz w:val="28"/>
          <w:szCs w:val="28"/>
          <w:shd w:val="clear" w:color="auto" w:fill="FFFFFF"/>
        </w:rPr>
        <w:t xml:space="preserve">Ширяев О. </w:t>
      </w:r>
      <w:r w:rsidRPr="00627883">
        <w:rPr>
          <w:rFonts w:cstheme="minorHAnsi"/>
          <w:color w:val="262626" w:themeColor="text1" w:themeTint="D9"/>
          <w:sz w:val="28"/>
          <w:szCs w:val="28"/>
        </w:rPr>
        <w:t>Слухи встали на службу бизнесу</w:t>
      </w:r>
      <w:r w:rsidR="00BA7BE7">
        <w:rPr>
          <w:rFonts w:cstheme="minorHAnsi"/>
          <w:color w:val="262626" w:themeColor="text1" w:themeTint="D9"/>
          <w:sz w:val="28"/>
          <w:szCs w:val="28"/>
        </w:rPr>
        <w:t xml:space="preserve"> / </w:t>
      </w:r>
      <w:r w:rsidR="00BA7BE7" w:rsidRPr="00BA7BE7">
        <w:rPr>
          <w:rFonts w:cstheme="minorHAnsi"/>
          <w:color w:val="262626" w:themeColor="text1" w:themeTint="D9"/>
          <w:sz w:val="28"/>
          <w:szCs w:val="28"/>
        </w:rPr>
        <w:t>Прокофьева</w:t>
      </w:r>
      <w:r w:rsidRPr="00627883">
        <w:rPr>
          <w:rFonts w:cstheme="minorHAnsi"/>
          <w:color w:val="262626" w:themeColor="text1" w:themeTint="D9"/>
          <w:sz w:val="28"/>
          <w:szCs w:val="28"/>
        </w:rPr>
        <w:t xml:space="preserve"> </w:t>
      </w:r>
      <w:r w:rsidR="00BA7BE7">
        <w:rPr>
          <w:rFonts w:cstheme="minorHAnsi"/>
          <w:color w:val="262626" w:themeColor="text1" w:themeTint="D9"/>
          <w:sz w:val="28"/>
          <w:szCs w:val="28"/>
        </w:rPr>
        <w:t xml:space="preserve">Е. МТС обвиняли в воровстве </w:t>
      </w:r>
      <w:r w:rsidRPr="00627883">
        <w:rPr>
          <w:rFonts w:cstheme="minorHAnsi"/>
          <w:color w:val="262626" w:themeColor="text1" w:themeTint="D9"/>
          <w:sz w:val="28"/>
          <w:szCs w:val="28"/>
        </w:rPr>
        <w:t>// Деловой Петербург. 2002. № 192. С. 28.</w:t>
      </w:r>
    </w:p>
    <w:p w14:paraId="447C05DA" w14:textId="39BAB7F6" w:rsidR="00BE53B5" w:rsidRPr="006D4B7E" w:rsidRDefault="00BA7BE7" w:rsidP="006D4B7E">
      <w:pPr>
        <w:pStyle w:val="a3"/>
        <w:numPr>
          <w:ilvl w:val="0"/>
          <w:numId w:val="1"/>
        </w:numPr>
        <w:jc w:val="both"/>
        <w:rPr>
          <w:rFonts w:cstheme="minorHAnsi"/>
          <w:color w:val="3A3A3A"/>
          <w:sz w:val="28"/>
          <w:szCs w:val="28"/>
          <w:shd w:val="clear" w:color="auto" w:fill="FFFFFF"/>
        </w:rPr>
      </w:pPr>
      <w:r w:rsidRPr="00BA7BE7">
        <w:rPr>
          <w:rFonts w:cstheme="minorHAnsi"/>
          <w:color w:val="3A3A3A"/>
          <w:sz w:val="28"/>
          <w:szCs w:val="28"/>
          <w:shd w:val="clear" w:color="auto" w:fill="FFFFFF"/>
        </w:rPr>
        <w:t>Юнг К.Г. Архетип и символ. М.: Ренессанс, 1991. 343 с</w:t>
      </w:r>
    </w:p>
    <w:sectPr w:rsidR="00BE53B5" w:rsidRPr="006D4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B56D9"/>
    <w:multiLevelType w:val="hybridMultilevel"/>
    <w:tmpl w:val="FE465A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B5"/>
    <w:rsid w:val="000A38E3"/>
    <w:rsid w:val="00366BCD"/>
    <w:rsid w:val="00582F17"/>
    <w:rsid w:val="005C7324"/>
    <w:rsid w:val="00624737"/>
    <w:rsid w:val="00627883"/>
    <w:rsid w:val="00632AD8"/>
    <w:rsid w:val="0063799E"/>
    <w:rsid w:val="006A6E09"/>
    <w:rsid w:val="006D4B7E"/>
    <w:rsid w:val="007342A1"/>
    <w:rsid w:val="007805B2"/>
    <w:rsid w:val="00821AF3"/>
    <w:rsid w:val="00840E7C"/>
    <w:rsid w:val="009E34C4"/>
    <w:rsid w:val="00A12201"/>
    <w:rsid w:val="00B06EF5"/>
    <w:rsid w:val="00B334AF"/>
    <w:rsid w:val="00BA7BE7"/>
    <w:rsid w:val="00BE53B5"/>
    <w:rsid w:val="00C60A68"/>
    <w:rsid w:val="00D14106"/>
    <w:rsid w:val="00D37283"/>
    <w:rsid w:val="00D91EEE"/>
    <w:rsid w:val="00FB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C798D"/>
  <w15:chartTrackingRefBased/>
  <w15:docId w15:val="{751EB0F5-9840-4A18-BA39-4583B783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F17"/>
    <w:pPr>
      <w:ind w:left="720"/>
      <w:contextualSpacing/>
    </w:pPr>
  </w:style>
  <w:style w:type="table" w:customStyle="1" w:styleId="TableGrid">
    <w:name w:val="TableGrid"/>
    <w:rsid w:val="00D1410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9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Леснов Андрей Юрьевич</dc:creator>
  <cp:keywords/>
  <dc:description/>
  <cp:lastModifiedBy>Lis A</cp:lastModifiedBy>
  <cp:revision>7</cp:revision>
  <dcterms:created xsi:type="dcterms:W3CDTF">2020-01-30T15:05:00Z</dcterms:created>
  <dcterms:modified xsi:type="dcterms:W3CDTF">2020-06-05T09:12:00Z</dcterms:modified>
</cp:coreProperties>
</file>