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wbwm1by10i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Stakeholder Identification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examines how players respond to emotionally adaptive NPCs and how game developers conceptualize emotional responsiveness in design. To capture a balanced set of perspectives, stakeholders were identified from three major categories: players, game developers, and academic/technical supervisors.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ggtypfz3w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Players (Primary Stakeholders)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stakeholders provide lived interaction data and experiential insight into emotional engagement in games.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 individuals included: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Undergraduate and graduate students who play games regularly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Casual players observed in public game environments (e.g., NYU Game Center arcade area, dorm lounges)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Friends/peers who play a range of genres (action, RPG, indie, narrative games)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Perspective represented:</w:t>
        <w:br w:type="textWrapping"/>
      </w:r>
      <w:r w:rsidDel="00000000" w:rsidR="00000000" w:rsidRPr="00000000">
        <w:rPr>
          <w:rtl w:val="0"/>
        </w:rPr>
        <w:t xml:space="preserve"> Real-time reactions, comfort, expectations about NPC emotional behavior, and general attitudes toward emotion-tracking technologies.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stnd5wnl1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Game Developers / Game-Making Students (Secondary Stakeholders)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individuals contribute design-oriented insights into how emotional systems fit production pipelines.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 individuals included: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NYU Game Center students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Classmates working on prototypes or portfolio games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Hobbyist developers participating in small indie projects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Surveyed developers from online communities (itch.io creators, small Discord game dev groups)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Perspective represented:</w:t>
        <w:br w:type="textWrapping"/>
      </w:r>
      <w:r w:rsidDel="00000000" w:rsidR="00000000" w:rsidRPr="00000000">
        <w:rPr>
          <w:rtl w:val="0"/>
        </w:rPr>
        <w:t xml:space="preserve"> Feasibility, design constraints, ethical concerns, implementation insights, and expectations for emotionally aware NPC behavior.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szwepxgyjw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Academic &amp; Technical Supervisors (Tertiary Stakeholders)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stakeholders ensure methodological rigour and alignment with affective computing research.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Individuals included: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Prof. Ahmed Ansari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Prof. Fitzgerald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 consultation) Prof. Carla Gannis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frameworks (Unreal Engine, OSC, emotion-recognition libraries)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Perspective represented:</w:t>
        <w:br w:type="textWrapping"/>
      </w:r>
      <w:r w:rsidDel="00000000" w:rsidR="00000000" w:rsidRPr="00000000">
        <w:rPr>
          <w:rtl w:val="0"/>
        </w:rPr>
        <w:t xml:space="preserve"> Research framing, methodology approval, ethical considerations, relevance to thesis goals.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q5b066zla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Research Methods Chosen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research methods were intentionally selected to represent both </w:t>
      </w:r>
      <w:r w:rsidDel="00000000" w:rsidR="00000000" w:rsidRPr="00000000">
        <w:rPr>
          <w:b w:val="1"/>
          <w:bCs w:val="1"/>
          <w:rtl w:val="0"/>
        </w:rPr>
        <w:t xml:space="preserve">behavioral observation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self-reported perception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u5myglg4f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1: Observational Study of Players in Game Environments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Understand natural player reactions, nonverbal behaviors, emotional cues, and interaction patterns with NPCs in existing games.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Observed players informally in communal gaming areas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 on NPC interaction moments, emotional responses, frustration patterns, and engagement signals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Took structured field notes (reaction timing, facial expressions, body language, gaze behavior)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chosen: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Non-intrusive way to study authentic player behavior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define what “emotional responsiveness” actually looks like in real gameplay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Establishes baseline expectations for NPC empathy or presence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