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№2 «Разработка тест-кейсов». В документе разработаны и выполнены тест-кейсы для формы заявки «Записаться в бету» на главной странице проекта DSLKit (проверка функции validateWaitlist): позитивные, негативные и граничные случаи с результатами выполнения и скриншотами.</w:t>
      </w:r>
    </w:p>
    <w:p>
      <w:pPr>
        <w:pStyle w:val="Heading1"/>
      </w:pPr>
      <w:r>
        <w:t>1. Use Case и требования</w:t>
      </w:r>
    </w:p>
    <w:p>
      <w:r>
        <w:t>Тестируется вариант использования UC-01 (подробное описание ниже). Применены эквивалентное разбиение и анализ граничных значений. Базовый корректный набор данных: name="Анна Иванова", email="anna@example.com", notation="idef0", team=5, comment="", consent=true. Общие предусловия тест-кейсов: проект запущен (npm start, http://localhost:5173), форма открыта. Общие постусловия: состояние системы не меняется.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бету», главная страница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беты.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контактные данные и сведения о проекте, чтобы команда DSLKit могла прислать ему приглашение в бету после запуска. Задача формы: принять только корректную заявку и сохранить её.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«Форма заявки и валидация» (лаб. 3, раздел 1). Реализация: site/index.html (форма #waitlist-form), site/js/components/waitlist-form.js, site/js/utils/validation.js, site/thanks.html и site/en/thanks.html.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Показ формы и подсказок к полям (шаги 1–6).</w:t>
              <w:br/>
              <w:t>UC-01.2 Очистка и проверка значений по П1–П6 (шаги 8–9).</w:t>
              <w:br/>
              <w:t>UC-01.3 Показ ошибок, фокус и повторная проверка (A1, A2).</w:t>
              <w:br/>
              <w:t>UC-01.4 Сохранение заявки в LocalStorage (шаг 10, A4, E1).</w:t>
              <w:br/>
              <w:t>UC-01.5 Переход на страницу благодарности (шаг 11).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«Прочитать политику конфиденциальности»: ссылка в тексте согласия ведёт на privacy.html (шаг 6).</w:t>
              <w:br/>
              <w:t>Лаб. 2: тест-кейсы TC-WL-001…022.</w:t>
              <w:br/>
              <w:t>Лаб. 3: проверки SM-07, CP-35, CP-36.</w:t>
              <w:br/>
              <w:t>Дефекты реализации: D-1 (повторные заявки), D-2 (потеря заявки при сбое хранилища).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Соответствие STAR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Situation (ситуация): предусловия 1–2.</w:t>
              <w:br/>
              <w:t>Task (задача): краткое описание цели и задачи.</w:t>
              <w:br/>
              <w:t>Action (действия): основной поток, шаги 1–11, и альтернативные потоки A1–A4.</w:t>
              <w:br/>
              <w:t>Result (результат): постусловия и исключительные ситуации E1–E2.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 пользователь). Внешних систем в сценарии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 сайта (русская или английская версия).</w:t>
              <w:br/>
              <w:t>2. Форма «Записаться в бету» отображается, все поля пусты, поле «Размер команды» содержит 0.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вводит имя в поле «Имя».</w:t>
              <w:br/>
              <w:t>2. Посетитель вводит адрес в поле «Электронная почта».</w:t>
              <w:br/>
              <w:t>3. Посетитель выбирает значение в списке «Нотация».</w:t>
              <w:br/>
              <w:t>4. Посетитель вводит целое число в поле «Размер команды».</w:t>
              <w:br/>
              <w:t>5. Посетитель при желании вводит текст в поле «Комментарий».</w:t>
              <w:br/>
              <w:t>6. Посетитель отмечает флажок согласия.</w:t>
              <w:br/>
              <w:t>7. Посетитель нажимает кнопку «Отправить».</w:t>
              <w:br/>
              <w:t>8. Система удаляет пробелы по краям у имени, почты и комментария.</w:t>
              <w:br/>
              <w:t>9. Система проверяет все поля по правилам П1–П6 (ниже).</w:t>
              <w:br/>
              <w:t>10. Система сохраняет заявку в LocalStorage браузера под ключом dslkit.waitlist: имя, почта, нотация, размер команды, комментарий, время создания.</w:t>
              <w:br/>
              <w:t>11. Система открывает страницу благодарности thanks.html.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Имя: 2–60 символов, начинается с буквы, далее буквы, пробел, дефис, апостроф.</w:t>
              <w:br/>
              <w:t>П2. Почта: вид name@domain.zone, домен верхнего уровня не короче двух символов, длина не более 120.</w:t>
              <w:br/>
              <w:t>П3. Нотация: одно из значений idef0, dfd, erd, bpmn, uml, petri.</w:t>
              <w:br/>
              <w:t>П4. Размер команды: целое число от 0 до 500 включительно.</w:t>
              <w:br/>
              <w:t>П5. Комментарий: не более 500 символов, поле необязательное.</w:t>
              <w:br/>
              <w:t>П6. Согласие: флажок обязательно отмечен.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появляется сообщение об ошибке, фокус переходит на первое неверное поле, заявка не сохраняется. После исправления поля и ухода из него сообщение исчезает. Сценарий продолжается с шага 7.</w:t>
              <w:br/>
              <w:t>A2. Согласие не отмечено (шаг 9): применяется A1 для поля согласия.</w:t>
              <w:br/>
              <w:t>A3. Посетитель закрывает страницу или уходит со страницы до шага 7: данные не сохраняются, состояние системы не меняется.</w:t>
              <w:br/>
              <w:t>A4. Повторная заявка с тем же адресом почты (шаг 10): заявка принимается как новая отдельная запись, сообщения о дубликате нет.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в LocalStorage на одну запись больше, открыта страница thanks.html.</w:t>
              <w:br/>
              <w:t>Ошибка проверки (A1, A2): записей не добавилось, посетитель остаётся на главной странице, введённые значения сохранены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Браузер не позволяет записать в LocalStorage (хранилище переполнено или запрещено, шаг 10): система всё равно открывает страницу благодарности, заявка не сохраняется, сообщения об ошибке нет. Это известное ограничение текущей версии (дефект D-2 лабораторной работы №1).</w:t>
              <w:br/>
              <w:t>E2. Одно из полей имеет недопустимый тип данных (например, текст в поле «Размер команды»): обрабатывается как A1 для этого поля.</w:t>
            </w:r>
          </w:p>
        </w:tc>
      </w:tr>
    </w:tbl>
    <w:p/>
    <w:p>
      <w:r>
        <w:t>Трассировка: правило П1 проверяют TC-WL-002…007, П2 TC-WL-008…011, П3 TC-WL-018, П4 TC-WL-012…017, П5 TC-WL-019, 020, П6 TC-WL-021, поток A1 TC-WL-022. Подзадача UC-01.2 покрыта всеми кейсами, UC-01.3 кейсом TC-WL-022.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