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Лабораторная работа №3 «Разработка чек-листов и отчёта о тестировании». В документе составлены дымовой чек-лист и чек-лист критического пути для проекта DSLKit, показаны результаты их выполнения и оформлен отчёт о тестировании (Test Report) с метриками, покрытием требований и скриншотами.</w:t>
      </w:r>
    </w:p>
    <w:p>
      <w:pPr>
        <w:pStyle w:val="Heading1"/>
      </w:pPr>
      <w:r>
        <w:t>1. Use Case и требования</w:t>
      </w:r>
    </w:p>
    <w:p>
      <w:r>
        <w:t>Проверки чек-листов покрывают в том числе вариант использования UC-01 «Подать заявку в лист ожидания», который описан ниже. Он связан с требованием R4: проверки SM-07, CP-35 и CP-36; детальные тест-кейсы к нему приведены в лабораторной работе №2.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Название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UC-01. Подать заявку в лист ожидания (форма «Записаться в бету», главная страница DSLKit)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Идентификатор, версия, приоритет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UC-01, версия 1.0, приоритет High: единственный способ оставить контакты для беты.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Краткое описание цели и задачи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Посетитель оставляет контактные данные и сведения о проекте, чтобы команда DSLKit могла прислать ему приглашение в бету после запуска. Задача формы: принять только корректную заявку и сохранить её.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Связанные требования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R4 «Форма заявки и валидация» (лаб. 3, раздел 1). Реализация: site/index.html (форма #waitlist-form), site/js/components/waitlist-form.js, site/js/utils/validation.js, site/thanks.html и site/en/thanks.html.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Подзадачи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UC-01.1 Показ формы и подсказок к полям (шаги 1–6).</w:t>
              <w:br/>
              <w:t>UC-01.2 Очистка и проверка значений по П1–П6 (шаги 8–9).</w:t>
              <w:br/>
              <w:t>UC-01.3 Показ ошибок, фокус и повторная проверка (A1, A2).</w:t>
              <w:br/>
              <w:t>UC-01.4 Сохранение заявки в LocalStorage (шаг 10, A4, E1).</w:t>
              <w:br/>
              <w:t>UC-01.5 Переход на страницу благодарности (шаг 11).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Связанные задачи и use case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UC-00 «Прочитать политику конфиденциальности»: ссылка в тексте согласия ведёт на privacy.html (шаг 6).</w:t>
              <w:br/>
              <w:t>Лаб. 2: тест-кейсы TC-WL-001…022.</w:t>
              <w:br/>
              <w:t>Лаб. 3: проверки SM-07, CP-35, CP-36.</w:t>
              <w:br/>
              <w:t>Дефекты реализации: D-1 (повторные заявки), D-2 (потеря заявки при сбое хранилища).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Соответствие STAR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Situation (ситуация): предусловия 1–2.</w:t>
              <w:br/>
              <w:t>Task (задача): краткое описание цели и задачи.</w:t>
              <w:br/>
              <w:t>Action (действия): основной поток, шаги 1–11, и альтернативные потоки A1–A4.</w:t>
              <w:br/>
              <w:t>Result (результат): постусловия и исключительные ситуации E1–E2.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Основной актор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Посетитель сайта (неавторизованный пользователь). Внешних систем в сценарии нет.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Предусловия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1. Открыта главная страница сайта (русская или английская версия).</w:t>
              <w:br/>
              <w:t>2. Форма «Записаться в бету» отображается, все поля пусты, поле «Размер команды» содержит 0.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Основной поток событий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1. Посетитель вводит имя в поле «Имя».</w:t>
              <w:br/>
              <w:t>2. Посетитель вводит адрес в поле «Электронная почта».</w:t>
              <w:br/>
              <w:t>3. Посетитель выбирает значение в списке «Нотация».</w:t>
              <w:br/>
              <w:t>4. Посетитель вводит целое число в поле «Размер команды».</w:t>
              <w:br/>
              <w:t>5. Посетитель при желании вводит текст в поле «Комментарий».</w:t>
              <w:br/>
              <w:t>6. Посетитель отмечает флажок согласия.</w:t>
              <w:br/>
              <w:t>7. Посетитель нажимает кнопку «Отправить».</w:t>
              <w:br/>
              <w:t>8. Система удаляет пробелы по краям у имени, почты и комментария.</w:t>
              <w:br/>
              <w:t>9. Система проверяет все поля по правилам П1–П6 (ниже).</w:t>
              <w:br/>
              <w:t>10. Система сохраняет заявку в LocalStorage браузера под ключом dslkit.waitlist: имя, почта, нотация, размер команды, комментарий, время создания.</w:t>
              <w:br/>
              <w:t>11. Система открывает страницу благодарности thanks.html.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Правила проверки полей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П1. Имя: 2–60 символов, начинается с буквы, далее буквы, пробел, дефис, апостроф.</w:t>
              <w:br/>
              <w:t>П2. Почта: вид name@domain.zone, домен верхнего уровня не короче двух символов, длина не более 120.</w:t>
              <w:br/>
              <w:t>П3. Нотация: одно из значений idef0, dfd, erd, bpmn, uml, petri.</w:t>
              <w:br/>
              <w:t>П4. Размер команды: целое число от 0 до 500 включительно.</w:t>
              <w:br/>
              <w:t>П5. Комментарий: не более 500 символов, поле необязательное.</w:t>
              <w:br/>
              <w:t>П6. Согласие: флажок обязательно отмечен.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Альтернативные потоки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A1. Одно или несколько полей не прошли проверку (шаг 9): под каждым неверным полем появляется сообщение об ошибке, фокус переходит на первое неверное поле, заявка не сохраняется. После исправления поля и ухода из него сообщение исчезает. Сценарий продолжается с шага 7.</w:t>
              <w:br/>
              <w:t>A2. Согласие не отмечено (шаг 9): применяется A1 для поля согласия.</w:t>
              <w:br/>
              <w:t>A3. Посетитель закрывает страницу или уходит со страницы до шага 7: данные не сохраняются, состояние системы не меняется.</w:t>
              <w:br/>
              <w:t>A4. Повторная заявка с тем же адресом почты (шаг 10): заявка принимается как новая отдельная запись, сообщения о дубликате нет.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Постусловия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Успех: в LocalStorage на одну запись больше, открыта страница thanks.html.</w:t>
              <w:br/>
              <w:t>Ошибка проверки (A1, A2): записей не добавилось, посетитель остаётся на главной странице, введённые значения сохранены в полях.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Исключительные ситуации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E1. Браузер не позволяет записать в LocalStorage (хранилище переполнено или запрещено, шаг 10): система всё равно открывает страницу благодарности, заявка не сохраняется, сообщения об ошибке нет. Это известное ограничение текущей версии (дефект D-2 лабораторной работы №1).</w:t>
              <w:br/>
              <w:t>E2. Одно из полей имеет недопустимый тип данных (например, текст в поле «Размер команды»): обрабатывается как A1 для этого поля.</w:t>
            </w:r>
          </w:p>
        </w:tc>
      </w:tr>
    </w:tbl>
    <w:p/>
    <w:p>
      <w:pPr>
        <w:pStyle w:val="Heading2"/>
      </w:pPr>
      <w:r>
        <w:t>Модули и требования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134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ID</w:t>
            </w:r>
          </w:p>
        </w:tc>
        <w:tc>
          <w:tcPr>
            <w:tcW w:type="dxa" w:w="8504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Требование</w:t>
            </w:r>
          </w:p>
        </w:tc>
      </w:tr>
      <w:tr>
        <w:tc>
          <w:tcPr>
            <w:tcW w:type="dxa" w:w="1134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8504"/>
          </w:tcPr>
          <w:p>
            <w:r>
              <w:rPr>
                <w:sz w:val="24"/>
              </w:rPr>
              <w:t>Доступность страниц</w:t>
            </w:r>
          </w:p>
        </w:tc>
      </w:tr>
      <w:tr>
        <w:tc>
          <w:tcPr>
            <w:tcW w:type="dxa" w:w="1134"/>
          </w:tcPr>
          <w:p>
            <w:r>
              <w:rPr>
                <w:sz w:val="24"/>
              </w:rPr>
              <w:t>R2</w:t>
            </w:r>
          </w:p>
        </w:tc>
        <w:tc>
          <w:tcPr>
            <w:tcW w:type="dxa" w:w="8504"/>
          </w:tcPr>
          <w:p>
            <w:r>
              <w:rPr>
                <w:sz w:val="24"/>
              </w:rPr>
              <w:t>Загрузка стилей и скриптов</w:t>
            </w:r>
          </w:p>
        </w:tc>
      </w:tr>
      <w:tr>
        <w:tc>
          <w:tcPr>
            <w:tcW w:type="dxa" w:w="1134"/>
          </w:tcPr>
          <w:p>
            <w:r>
              <w:rPr>
                <w:sz w:val="24"/>
              </w:rPr>
              <w:t>R3</w:t>
            </w:r>
          </w:p>
        </w:tc>
        <w:tc>
          <w:tcPr>
            <w:tcW w:type="dxa" w:w="8504"/>
          </w:tcPr>
          <w:p>
            <w:r>
              <w:rPr>
                <w:sz w:val="24"/>
              </w:rPr>
              <w:t>Разбор DSL, преобразование в DOT и Mermaid</w:t>
            </w:r>
          </w:p>
        </w:tc>
      </w:tr>
      <w:tr>
        <w:tc>
          <w:tcPr>
            <w:tcW w:type="dxa" w:w="1134"/>
          </w:tcPr>
          <w:p>
            <w:r>
              <w:rPr>
                <w:sz w:val="24"/>
              </w:rPr>
              <w:t>R4</w:t>
            </w:r>
          </w:p>
        </w:tc>
        <w:tc>
          <w:tcPr>
            <w:tcW w:type="dxa" w:w="8504"/>
          </w:tcPr>
          <w:p>
            <w:r>
              <w:rPr>
                <w:sz w:val="24"/>
              </w:rPr>
              <w:t>Форма заявки и валидация</w:t>
            </w:r>
          </w:p>
        </w:tc>
      </w:tr>
      <w:tr>
        <w:tc>
          <w:tcPr>
            <w:tcW w:type="dxa" w:w="1134"/>
          </w:tcPr>
          <w:p>
            <w:r>
              <w:rPr>
                <w:sz w:val="24"/>
              </w:rPr>
              <w:t>R5</w:t>
            </w:r>
          </w:p>
        </w:tc>
        <w:tc>
          <w:tcPr>
            <w:tcW w:type="dxa" w:w="8504"/>
          </w:tcPr>
          <w:p>
            <w:r>
              <w:rPr>
                <w:sz w:val="24"/>
              </w:rPr>
              <w:t>Ошибки сервера: 404, 405, обход каталогов</w:t>
            </w:r>
          </w:p>
        </w:tc>
      </w:tr>
      <w:tr>
        <w:tc>
          <w:tcPr>
            <w:tcW w:type="dxa" w:w="1134"/>
          </w:tcPr>
          <w:p>
            <w:r>
              <w:rPr>
                <w:sz w:val="24"/>
              </w:rPr>
              <w:t>R6</w:t>
            </w:r>
          </w:p>
        </w:tc>
        <w:tc>
          <w:tcPr>
            <w:tcW w:type="dxa" w:w="8504"/>
          </w:tcPr>
          <w:p>
            <w:r>
              <w:rPr>
                <w:sz w:val="24"/>
              </w:rPr>
              <w:t>Разметка и локализация</w:t>
            </w:r>
          </w:p>
        </w:tc>
      </w:tr>
      <w:tr>
        <w:tc>
          <w:tcPr>
            <w:tcW w:type="dxa" w:w="1134"/>
          </w:tcPr>
          <w:p>
            <w:r>
              <w:rPr>
                <w:sz w:val="24"/>
              </w:rPr>
              <w:t>R7</w:t>
            </w:r>
          </w:p>
        </w:tc>
        <w:tc>
          <w:tcPr>
            <w:tcW w:type="dxa" w:w="8504"/>
          </w:tcPr>
          <w:p>
            <w:r>
              <w:rPr>
                <w:sz w:val="24"/>
              </w:rPr>
              <w:t>Безопасность: CSP и заголовки</w:t>
            </w:r>
          </w:p>
        </w:tc>
      </w:tr>
      <w:tr>
        <w:tc>
          <w:tcPr>
            <w:tcW w:type="dxa" w:w="1134"/>
          </w:tcPr>
          <w:p>
            <w:r>
              <w:rPr>
                <w:sz w:val="24"/>
              </w:rPr>
              <w:t>R8</w:t>
            </w:r>
          </w:p>
        </w:tc>
        <w:tc>
          <w:tcPr>
            <w:tcW w:type="dxa" w:w="8504"/>
          </w:tcPr>
          <w:p>
            <w:r>
              <w:rPr>
                <w:sz w:val="24"/>
              </w:rPr>
              <w:t>PWA, robots, sitemap</w:t>
            </w:r>
          </w:p>
        </w:tc>
      </w:tr>
      <w:tr>
        <w:tc>
          <w:tcPr>
            <w:tcW w:type="dxa" w:w="1134"/>
          </w:tcPr>
          <w:p>
            <w:r>
              <w:rPr>
                <w:sz w:val="24"/>
              </w:rPr>
              <w:t>R9</w:t>
            </w:r>
          </w:p>
        </w:tc>
        <w:tc>
          <w:tcPr>
            <w:tcW w:type="dxa" w:w="8504"/>
          </w:tcPr>
          <w:p>
            <w:r>
              <w:rPr>
                <w:sz w:val="24"/>
              </w:rPr>
              <w:t>Локальное хранилище</w:t>
            </w:r>
          </w:p>
        </w:tc>
      </w:tr>
    </w:tbl>
    <w:p/>
    <w:p>
      <w:pPr>
        <w:pStyle w:val="Heading1"/>
      </w:pPr>
      <w:r>
        <w:t>2. Дымовой чек-лист (Smoke)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020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ID</w:t>
            </w:r>
          </w:p>
        </w:tc>
        <w:tc>
          <w:tcPr>
            <w:tcW w:type="dxa" w:w="737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Треб.</w:t>
            </w:r>
          </w:p>
        </w:tc>
        <w:tc>
          <w:tcPr>
            <w:tcW w:type="dxa" w:w="4819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Проверка</w:t>
            </w:r>
          </w:p>
        </w:tc>
        <w:tc>
          <w:tcPr>
            <w:tcW w:type="dxa" w:w="1474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Статус</w:t>
            </w:r>
          </w:p>
        </w:tc>
        <w:tc>
          <w:tcPr>
            <w:tcW w:type="dxa" w:w="1701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Комментарий</w:t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SM-01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Главная страница открывается (200)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SM-02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Редактор открывается (200)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SM-03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Панель проектов открывается (200)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SM-04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R2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Стили главной загружаются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SM-05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R2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Скрипт главной загружается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SM-06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R3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Разбор DSL возвращает 2 блока и 1 стрелку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SM-07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R4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Форма заявки есть на главной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SM-08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R5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Несуществующий адрес даёт 404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</w:tbl>
    <w:p/>
    <w:p>
      <w:pPr>
        <w:pStyle w:val="Heading1"/>
      </w:pPr>
      <w:r>
        <w:t>3. Чек-лист критического пути (Critical Path)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020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ID</w:t>
            </w:r>
          </w:p>
        </w:tc>
        <w:tc>
          <w:tcPr>
            <w:tcW w:type="dxa" w:w="737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Треб.</w:t>
            </w:r>
          </w:p>
        </w:tc>
        <w:tc>
          <w:tcPr>
            <w:tcW w:type="dxa" w:w="4819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Проверка</w:t>
            </w:r>
          </w:p>
        </w:tc>
        <w:tc>
          <w:tcPr>
            <w:tcW w:type="dxa" w:w="1474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Статус</w:t>
            </w:r>
          </w:p>
        </w:tc>
        <w:tc>
          <w:tcPr>
            <w:tcW w:type="dxa" w:w="1701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Комментарий</w:t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CP-01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Страница / отдаётся как HTML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CP-02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Страница /privacy.html отдаётся как HTML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CP-03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Страница /thanks.html отдаётся как HTML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CP-04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Страница /app/dashboard.html отдаётся как HTML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CP-05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Страница /app/editor.html отдаётся как HTML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CP-06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Страница /app/settings.html отдаётся как HTML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CP-07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Страница /app/welcome.html отдаётся как HTML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CP-08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Страница /en/ отдаётся как HTML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CP-09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Страница /en/privacy.html отдаётся как HTML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CP-10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Страница /en/thanks.html отдаётся как HTML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CP-11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R6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Главная: lang="ru", английская версия: lang="en"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CP-12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R6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На каждой странице ровно один h1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CP-13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R6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У главной есть canonical и alternate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CP-14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R6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У каждой страницы есть title и meta viewport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CP-15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R2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Все локальные ссылки на ресурсы главной открываются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CP-16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R7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Нет встроенных скриптов (CSP script-src self)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CP-17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R7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Заголовок Content-Security-Policy присутствует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CP-18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R7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X-Frame-Options = DENY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CP-19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R7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X-Content-Type-Options = nosniff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CP-20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R5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POST на статику даёт 405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CP-21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R5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Выход за корень (../) не отдаёт файлы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CP-22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R5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Страница 404 оформлена как HTML сайта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CP-23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R8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Манифест PWA: корректный JSON с иконками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CP-24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R8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Service worker доступен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CP-25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R8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robots.txt и sitemap.xml доступны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CP-26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R3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parseDsl: тип и заголовок диаграммы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CP-27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R3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parseDsl: порты блока разобраны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CP-28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R3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parseDsl: неизвестная строка попадает в skipped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CP-29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R3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parseDsl: пустой ввод не падает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CP-30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R3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toDot даёт digraph с обоими блоками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CP-31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R3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toMermaid возвращает непустой текст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CP-32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R3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sourceKey: один текст даёт один ключ, разные тексты разные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CP-33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R9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Хранилище: set/get возвращает значение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CP-34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R9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Хранилище: remove и значение по умолчанию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CP-35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R4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Валидация заявки: корректные данные дают пустой список ошибок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CP-36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R4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Форма: у полей есть label и сообщения об ошибках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</w:tbl>
    <w:p/>
    <w:p>
      <w:r>
        <w:br w:type="page"/>
      </w:r>
    </w:p>
    <w:p>
      <w:pPr>
        <w:pStyle w:val="Heading1"/>
      </w:pPr>
      <w:r>
        <w:t>Отчёт о тестировании (Test Report)</w:t>
      </w:r>
    </w:p>
    <w:p>
      <w:pPr>
        <w:pStyle w:val="Heading2"/>
      </w:pPr>
      <w:r>
        <w:t>4. Общая информация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268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Параметр</w:t>
            </w:r>
          </w:p>
        </w:tc>
        <w:tc>
          <w:tcPr>
            <w:tcW w:type="dxa" w:w="7370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Значение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Проект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DSLKit (site/), ветка testing-course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Дата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25.10.2026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Среда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Windows 11, Node.js, локальный сервер tools/server.js; браузер Microsoft Edge (скриншоты)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Способ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Автоматические проверки (npm run tc:lab3) и ручная проверка в браузере</w:t>
            </w:r>
          </w:p>
        </w:tc>
      </w:tr>
    </w:tbl>
    <w:p/>
    <w:p>
      <w:pPr>
        <w:pStyle w:val="Heading2"/>
      </w:pPr>
      <w:r>
        <w:t>5. Объём тестирования</w:t>
      </w:r>
    </w:p>
    <w:p>
      <w:r>
        <w:t>Тестировалось: доступность страниц (RU и EN), ресурсы, DSL-парсер и экспорт в DOT и Mermaid, форма заявки, ошибки сервера, защитные заголовки, PWA, хранилище. Не тестировалось: отрисовка диаграмм внешним сервисом Kroki, кроссбраузерность, нагрузка.</w:t>
      </w:r>
    </w:p>
    <w:p>
      <w:pPr>
        <w:pStyle w:val="Heading2"/>
      </w:pPr>
      <w:r>
        <w:t>6. Результаты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3402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Статус</w:t>
            </w:r>
          </w:p>
        </w:tc>
        <w:tc>
          <w:tcPr>
            <w:tcW w:type="dxa" w:w="2268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Количество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Passed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44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Failed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0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Blocked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0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Всего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44</w:t>
            </w:r>
          </w:p>
        </w:tc>
      </w:tr>
    </w:tbl>
    <w:p/>
    <w:p>
      <w:pPr>
        <w:pStyle w:val="Heading3"/>
      </w:pPr>
      <w:r>
        <w:t>Метрики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2551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Метрика</w:t>
            </w:r>
          </w:p>
        </w:tc>
        <w:tc>
          <w:tcPr>
            <w:tcW w:type="dxa" w:w="4535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Формула</w:t>
            </w:r>
          </w:p>
        </w:tc>
        <w:tc>
          <w:tcPr>
            <w:tcW w:type="dxa" w:w="2551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Значение</w:t>
            </w:r>
          </w:p>
        </w:tc>
      </w:tr>
      <w:tr>
        <w:tc>
          <w:tcPr>
            <w:tcW w:type="dxa" w:w="2551"/>
          </w:tcPr>
          <w:p>
            <w:r>
              <w:rPr>
                <w:sz w:val="24"/>
              </w:rPr>
              <w:t>Процент выполненных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Выполненные / Всего × 100%</w:t>
            </w:r>
          </w:p>
        </w:tc>
        <w:tc>
          <w:tcPr>
            <w:tcW w:type="dxa" w:w="2551"/>
          </w:tcPr>
          <w:p>
            <w:r>
              <w:rPr>
                <w:sz w:val="24"/>
              </w:rPr>
              <w:t>100%</w:t>
            </w:r>
          </w:p>
        </w:tc>
      </w:tr>
      <w:tr>
        <w:tc>
          <w:tcPr>
            <w:tcW w:type="dxa" w:w="2551"/>
          </w:tcPr>
          <w:p>
            <w:r>
              <w:rPr>
                <w:sz w:val="24"/>
              </w:rPr>
              <w:t>Процент успешных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Passed / Выполненные × 100%</w:t>
            </w:r>
          </w:p>
        </w:tc>
        <w:tc>
          <w:tcPr>
            <w:tcW w:type="dxa" w:w="2551"/>
          </w:tcPr>
          <w:p>
            <w:r>
              <w:rPr>
                <w:sz w:val="24"/>
              </w:rPr>
              <w:t>100%</w:t>
            </w:r>
          </w:p>
        </w:tc>
      </w:tr>
      <w:tr>
        <w:tc>
          <w:tcPr>
            <w:tcW w:type="dxa" w:w="2551"/>
          </w:tcPr>
          <w:p>
            <w:r>
              <w:rPr>
                <w:sz w:val="24"/>
              </w:rPr>
              <w:t>Плотность дефектов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Дефекты / Количество тестов</w:t>
            </w:r>
          </w:p>
        </w:tc>
        <w:tc>
          <w:tcPr>
            <w:tcW w:type="dxa" w:w="2551"/>
          </w:tcPr>
          <w:p>
            <w:r>
              <w:rPr>
                <w:sz w:val="24"/>
              </w:rPr>
              <w:t>0</w:t>
            </w:r>
          </w:p>
        </w:tc>
      </w:tr>
      <w:tr>
        <w:tc>
          <w:tcPr>
            <w:tcW w:type="dxa" w:w="2551"/>
          </w:tcPr>
          <w:p>
            <w:r>
              <w:rPr>
                <w:sz w:val="24"/>
              </w:rPr>
              <w:t>Покрытие требований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Покрытые / Всего × 100%</w:t>
            </w:r>
          </w:p>
        </w:tc>
        <w:tc>
          <w:tcPr>
            <w:tcW w:type="dxa" w:w="2551"/>
          </w:tcPr>
          <w:p>
            <w:r>
              <w:rPr>
                <w:sz w:val="24"/>
              </w:rPr>
              <w:t>100% (9 из 9)</w:t>
            </w:r>
          </w:p>
        </w:tc>
      </w:tr>
    </w:tbl>
    <w:p/>
    <w:p>
      <w:pPr>
        <w:pStyle w:val="Heading2"/>
      </w:pPr>
      <w:r>
        <w:t>7. Обнаруженные дефекты</w:t>
      </w:r>
    </w:p>
    <w:p>
      <w:r>
        <w:t>Проваленных проверок нет, баг-репорты не создавались.</w:t>
      </w:r>
    </w:p>
    <w:p>
      <w:r>
        <w:t>Примечание: при отладке проверка SM-06 падала из-за ошибки в синтаксисе тестовых данных (DSL требует diagram, box … {, arrow). Это дефект теста, он исправлен, к продукту отношения не имеет.</w:t>
      </w:r>
    </w:p>
    <w:p>
      <w:pPr>
        <w:pStyle w:val="Heading2"/>
      </w:pPr>
      <w:r>
        <w:t>8. Покрытие требований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907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Треб.</w:t>
            </w:r>
          </w:p>
        </w:tc>
        <w:tc>
          <w:tcPr>
            <w:tcW w:type="dxa" w:w="3969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Описание</w:t>
            </w:r>
          </w:p>
        </w:tc>
        <w:tc>
          <w:tcPr>
            <w:tcW w:type="dxa" w:w="3402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Проверки</w:t>
            </w:r>
          </w:p>
        </w:tc>
        <w:tc>
          <w:tcPr>
            <w:tcW w:type="dxa" w:w="1361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Результат</w:t>
            </w:r>
          </w:p>
        </w:tc>
      </w:tr>
      <w:tr>
        <w:tc>
          <w:tcPr>
            <w:tcW w:type="dxa" w:w="90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Доступность страниц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13: SM-01 … CP-10</w:t>
            </w:r>
          </w:p>
        </w:tc>
        <w:tc>
          <w:tcPr>
            <w:tcW w:type="dxa" w:w="1361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907"/>
          </w:tcPr>
          <w:p>
            <w:r>
              <w:rPr>
                <w:sz w:val="24"/>
              </w:rPr>
              <w:t>R2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Загрузка стилей и скриптов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3: SM-04 … CP-15</w:t>
            </w:r>
          </w:p>
        </w:tc>
        <w:tc>
          <w:tcPr>
            <w:tcW w:type="dxa" w:w="1361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907"/>
          </w:tcPr>
          <w:p>
            <w:r>
              <w:rPr>
                <w:sz w:val="24"/>
              </w:rPr>
              <w:t>R3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Разбор DSL, преобразование в DOT и Mermaid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8: SM-06 … CP-32</w:t>
            </w:r>
          </w:p>
        </w:tc>
        <w:tc>
          <w:tcPr>
            <w:tcW w:type="dxa" w:w="1361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907"/>
          </w:tcPr>
          <w:p>
            <w:r>
              <w:rPr>
                <w:sz w:val="24"/>
              </w:rPr>
              <w:t>R4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Форма заявки и валидация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3: SM-07 … CP-36</w:t>
            </w:r>
          </w:p>
        </w:tc>
        <w:tc>
          <w:tcPr>
            <w:tcW w:type="dxa" w:w="1361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907"/>
          </w:tcPr>
          <w:p>
            <w:r>
              <w:rPr>
                <w:sz w:val="24"/>
              </w:rPr>
              <w:t>R5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Ошибки сервера: 404, 405, обход каталогов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4: SM-08 … CP-22</w:t>
            </w:r>
          </w:p>
        </w:tc>
        <w:tc>
          <w:tcPr>
            <w:tcW w:type="dxa" w:w="1361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907"/>
          </w:tcPr>
          <w:p>
            <w:r>
              <w:rPr>
                <w:sz w:val="24"/>
              </w:rPr>
              <w:t>R6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Разметка и локализация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4: CP-11 … CP-14</w:t>
            </w:r>
          </w:p>
        </w:tc>
        <w:tc>
          <w:tcPr>
            <w:tcW w:type="dxa" w:w="1361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907"/>
          </w:tcPr>
          <w:p>
            <w:r>
              <w:rPr>
                <w:sz w:val="24"/>
              </w:rPr>
              <w:t>R7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Безопасность: CSP и заголовки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4: CP-16 … CP-19</w:t>
            </w:r>
          </w:p>
        </w:tc>
        <w:tc>
          <w:tcPr>
            <w:tcW w:type="dxa" w:w="1361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907"/>
          </w:tcPr>
          <w:p>
            <w:r>
              <w:rPr>
                <w:sz w:val="24"/>
              </w:rPr>
              <w:t>R8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PWA, robots, sitemap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3: CP-23 … CP-25</w:t>
            </w:r>
          </w:p>
        </w:tc>
        <w:tc>
          <w:tcPr>
            <w:tcW w:type="dxa" w:w="1361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907"/>
          </w:tcPr>
          <w:p>
            <w:r>
              <w:rPr>
                <w:sz w:val="24"/>
              </w:rPr>
              <w:t>R9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Локальное хранилище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2: CP-33 … CP-34</w:t>
            </w:r>
          </w:p>
        </w:tc>
        <w:tc>
          <w:tcPr>
            <w:tcW w:type="dxa" w:w="1361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</w:tbl>
    <w:p/>
    <w:p>
      <w:pPr>
        <w:pStyle w:val="Heading2"/>
      </w:pPr>
      <w:r>
        <w:t>9. Скриншоты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1. R1: главная страница (RU)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home-e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2. R1, R6: английская версия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edi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3. R1: редактор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4. R1: панель проектов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4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5. R5: страница 404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3736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form-erro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73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6. R4: ошибки валидации формы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console-lab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7. Автоматический прогон чек-листов и метрики</w:t>
      </w:r>
    </w:p>
    <w:p>
      <w:pPr>
        <w:pStyle w:val="Heading2"/>
      </w:pPr>
      <w:r>
        <w:t>10. Риски и проблемы</w:t>
      </w:r>
    </w:p>
    <w:p>
      <w:r>
        <w:t>Проверки не охватывают визуальную отрисовку диаграмм (внешний сервис Kroki) и другие браузеры. Работа редактора проверена выборочно.</w:t>
      </w:r>
    </w:p>
    <w:p>
      <w:pPr>
        <w:pStyle w:val="Heading2"/>
      </w:pPr>
      <w:r>
        <w:t>11. Выводы и рекомендации</w:t>
      </w:r>
    </w:p>
    <w:p>
      <w:r>
        <w:t>Выполнено 44 из 44 проверок, дымовой тест пройден на 100%, покрытие требований 100%, дефектов нет. Качество оценено как высокое, релиз рекомендован; браузерные сценарии стоит проверять отдельно.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