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jc w:val="center"/>
      </w:pPr>
      <w:r>
        <w:rPr>
          <w:b w:val="0"/>
        </w:rPr>
        <w:t>Министерство образования Республики Беларусь</w:t>
      </w:r>
    </w:p>
    <w:p>
      <w:pPr>
        <w:keepLines/>
      </w:pPr>
    </w:p>
    <w:p>
      <w:pPr>
        <w:keepLines/>
        <w:jc w:val="center"/>
      </w:pPr>
      <w:r>
        <w:rPr>
          <w:b w:val="0"/>
        </w:rPr>
        <w:t>Учреждение образования</w:t>
      </w:r>
    </w:p>
    <w:p>
      <w:pPr>
        <w:keepLines/>
        <w:jc w:val="center"/>
      </w:pPr>
      <w:r>
        <w:rPr>
          <w:b w:val="0"/>
        </w:rPr>
        <w:t>БЕЛОРУССКИЙ ГОСУДАРСТВЕННЫЙ УНИВЕРСИТЕТ</w:t>
      </w:r>
    </w:p>
    <w:p>
      <w:pPr>
        <w:keepLines/>
        <w:jc w:val="center"/>
      </w:pPr>
      <w:r>
        <w:rPr>
          <w:b w:val="0"/>
        </w:rPr>
        <w:t>ИНФОРМАТИКИ И РАДИОЭЛЕКТРОНИКИ</w:t>
      </w:r>
    </w:p>
    <w:p>
      <w:pPr>
        <w:keepLines/>
      </w:pPr>
    </w:p>
    <w:p>
      <w:pPr>
        <w:keepLines/>
      </w:pPr>
    </w:p>
    <w:p>
      <w:pPr>
        <w:keepLines/>
        <w:tabs>
          <w:tab w:pos="1984" w:val="left"/>
        </w:tabs>
      </w:pPr>
      <w:r>
        <w:t>Факультет</w:t>
        <w:tab/>
        <w:t>&lt;факультет&gt;</w:t>
      </w:r>
    </w:p>
    <w:p>
      <w:pPr>
        <w:keepLines/>
      </w:pPr>
    </w:p>
    <w:p>
      <w:pPr>
        <w:keepLines/>
        <w:tabs>
          <w:tab w:pos="1984" w:val="left"/>
        </w:tabs>
      </w:pPr>
      <w:r>
        <w:t>Кафедра</w:t>
        <w:tab/>
        <w:t>&lt;кафедра&gt;</w:t>
      </w:r>
    </w:p>
    <w:p>
      <w:pPr>
        <w:keepLines/>
      </w:pPr>
    </w:p>
    <w:p>
      <w:pPr>
        <w:keepLines/>
        <w:tabs>
          <w:tab w:pos="1984" w:val="left"/>
        </w:tabs>
      </w:pPr>
      <w:r>
        <w:t>Дисциплина: Тестирование программного обеспечения</w:t>
      </w:r>
    </w:p>
    <w:p>
      <w:pPr>
        <w:keepLines/>
      </w:pPr>
    </w:p>
    <w:p>
      <w:pPr>
        <w:keepLines/>
      </w:pPr>
    </w:p>
    <w:p>
      <w:pPr>
        <w:keepLines/>
        <w:jc w:val="center"/>
      </w:pPr>
      <w:r>
        <w:rPr>
          <w:b w:val="0"/>
        </w:rPr>
        <w:t>ОТЧЁТ</w:t>
      </w:r>
    </w:p>
    <w:p>
      <w:pPr>
        <w:keepLines/>
        <w:jc w:val="center"/>
      </w:pPr>
      <w:r>
        <w:rPr>
          <w:b w:val="0"/>
        </w:rPr>
        <w:t>по лабораторной работе</w:t>
      </w:r>
    </w:p>
    <w:p>
      <w:pPr>
        <w:keepLines/>
        <w:jc w:val="center"/>
      </w:pPr>
      <w:r>
        <w:rPr>
          <w:b w:val="0"/>
        </w:rPr>
        <w:t>на тему</w:t>
      </w:r>
    </w:p>
    <w:p>
      <w:pPr>
        <w:keepLines/>
      </w:pPr>
    </w:p>
    <w:p>
      <w:pPr>
        <w:keepLines/>
        <w:jc w:val="center"/>
      </w:pPr>
      <w:r>
        <w:rPr>
          <w:b/>
        </w:rPr>
        <w:t>РАЗРАБОТКА ТЕСТ-КЕЙСОВ</w:t>
      </w: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  <w:tabs>
          <w:tab w:pos="9354" w:val="right"/>
        </w:tabs>
      </w:pPr>
      <w:r>
        <w:t>Студент:</w:t>
        <w:tab/>
        <w:t>&lt;И.О. Фамилия студента&gt;</w:t>
      </w:r>
    </w:p>
    <w:p>
      <w:pPr>
        <w:keepLines/>
      </w:pPr>
    </w:p>
    <w:p>
      <w:pPr>
        <w:keepLines/>
      </w:pPr>
    </w:p>
    <w:p>
      <w:pPr>
        <w:keepLines/>
        <w:tabs>
          <w:tab w:pos="9354" w:val="right"/>
        </w:tabs>
      </w:pPr>
      <w:r>
        <w:t>Руководитель:</w:t>
        <w:tab/>
        <w:t>&lt;И.О. Фамилия руководителя&gt;</w:t>
      </w: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</w:pPr>
    </w:p>
    <w:p>
      <w:pPr>
        <w:keepLines/>
        <w:jc w:val="center"/>
      </w:pPr>
      <w:r>
        <w:rPr>
          <w:b w:val="0"/>
        </w:rPr>
        <w:t>Минск 2026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1 ЦЕЛЬ РАБОТЫ</w:t>
      </w:r>
    </w:p>
    <w:p>
      <w:pPr>
        <w:ind w:firstLine="709"/>
        <w:jc w:val="both"/>
      </w:pPr>
      <w:r>
        <w:t>Изучить структуру тест-кейса, освоить эквивалентное разбиение и анализ граничных значений, оформить и выполнить тест-кейсы для формы заявки на раннее подключение веб-приложения DSLKit.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2 ТЕОРЕТИЧЕСКИЕ СВЕДЕНИЯ</w:t>
      </w:r>
    </w:p>
    <w:p>
      <w:pPr>
        <w:ind w:firstLine="709"/>
        <w:jc w:val="both"/>
      </w:pPr>
      <w:r>
        <w:t>Теория дана по книге С. С. Куликова «Тестирование программного обеспечения. Базовый курс» (EPAM Systems, 2015–2025), главы 2.4 и 2.7.2.</w:t>
      </w:r>
    </w:p>
    <w:p>
      <w:pPr>
        <w:ind w:firstLine="709"/>
        <w:jc w:val="both"/>
      </w:pPr>
      <w:r>
        <w:t>Тест-кейс — набор входных данных, условий выполнения и ожидаемых результатов, разработанный для проверки определённого свойства или поведения программы. Если не указаны входные данные, условия или ожидаемый результат, либо неясна цель, тест-кейс считается плохим. Тест-кейсы обеспечивают повторяемость проверок, передачу знаний в команде, регрессионное тестирование и улучшение требований.</w:t>
      </w:r>
    </w:p>
    <w:p>
      <w:pPr>
        <w:ind w:firstLine="709"/>
        <w:jc w:val="both"/>
      </w:pPr>
      <w:r>
        <w:t>Класс эквивалентности — набор данных, обрабатываемых одинаково и дающих одинаковый результат. Граничное условие — значение на границе классов эквивалентности. Для диапазона проверяют последнее допустимое и первое недопустимое значения, а также «опасные» значения вроде нуля и пустой строки. Позитивные тест-кейсы берут из допустимых классов, негативные из недопустимых.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3 ХОД РАБОТЫ</w:t>
      </w:r>
    </w:p>
    <w:p>
      <w:pPr>
        <w:pStyle w:val="Heading2"/>
        <w:ind w:firstLine="709"/>
        <w:jc w:val="left"/>
      </w:pPr>
      <w:r>
        <w:rPr>
          <w:b/>
        </w:rPr>
        <w:t>3.1 Выбор use case и требования</w:t>
      </w:r>
    </w:p>
    <w:p>
      <w:pPr>
        <w:ind w:firstLine="709"/>
        <w:jc w:val="both"/>
      </w:pPr>
      <w:r>
        <w:t>Тестируется вариант использования UC-01, описанный ниже. Проверку полей выполняет функция validateWaitlist (файл site/js/utils/validation.js), которая возвращает список неверных полей. Проект развёрнут локально командой npm start.</w:t>
      </w:r>
    </w:p>
    <w:p>
      <w:pPr>
        <w:ind w:firstLine="709"/>
        <w:jc w:val="both"/>
      </w:pPr>
      <w:r>
        <w:t>*</w:t>
      </w:r>
      <w:r>
        <w:rPr>
          <w:i/>
        </w:rPr>
        <w:t>Название.</w:t>
      </w:r>
      <w:r>
        <w:t>*</w:t>
      </w:r>
    </w:p>
    <w:p>
      <w:pPr>
        <w:ind w:firstLine="709"/>
        <w:jc w:val="both"/>
      </w:pPr>
      <w:r>
        <w:t>– UC-01. Подать заявку в лист ожидания (форма «Записаться в бету», главная страница DSLKit).</w:t>
      </w:r>
    </w:p>
    <w:p>
      <w:pPr>
        <w:ind w:firstLine="709"/>
        <w:jc w:val="both"/>
      </w:pPr>
      <w:r>
        <w:t>*</w:t>
      </w:r>
      <w:r>
        <w:rPr>
          <w:i/>
        </w:rPr>
        <w:t>Идентификатор, версия, приоритет.</w:t>
      </w:r>
      <w:r>
        <w:t>*</w:t>
      </w:r>
    </w:p>
    <w:p>
      <w:pPr>
        <w:ind w:firstLine="709"/>
        <w:jc w:val="both"/>
      </w:pPr>
      <w:r>
        <w:t>– UC-01, версия 1.0, приоритет High: единственный способ оставить контакты для беты.</w:t>
      </w:r>
    </w:p>
    <w:p>
      <w:pPr>
        <w:ind w:firstLine="709"/>
        <w:jc w:val="both"/>
      </w:pPr>
      <w:r>
        <w:t>*</w:t>
      </w:r>
      <w:r>
        <w:rPr>
          <w:i/>
        </w:rPr>
        <w:t>Краткое описание цели и задачи.</w:t>
      </w:r>
      <w:r>
        <w:t>*</w:t>
      </w:r>
    </w:p>
    <w:p>
      <w:pPr>
        <w:ind w:firstLine="709"/>
        <w:jc w:val="both"/>
      </w:pPr>
      <w:r>
        <w:t>– Посетитель оставляет контактные данные и сведения о проекте, чтобы команда DSLKit могла прислать ему приглашение в бету после запуска. Задача формы: принять только корректную заявку и сохранить её.</w:t>
      </w:r>
    </w:p>
    <w:p>
      <w:pPr>
        <w:ind w:firstLine="709"/>
        <w:jc w:val="both"/>
      </w:pPr>
      <w:r>
        <w:t>*</w:t>
      </w:r>
      <w:r>
        <w:rPr>
          <w:i/>
        </w:rPr>
        <w:t>Связанные требования.</w:t>
      </w:r>
      <w:r>
        <w:t>*</w:t>
      </w:r>
    </w:p>
    <w:p>
      <w:pPr>
        <w:ind w:firstLine="709"/>
        <w:jc w:val="both"/>
      </w:pPr>
      <w:r>
        <w:t>– R4 «Форма заявки и валидация» (лаб. 3, раздел 1). Реализация: site/index.html (форма #waitlist-form), site/js/components/waitlist-form.js, site/js/utils/validation.js, site/thanks.html и site/en/thanks.html.</w:t>
      </w:r>
    </w:p>
    <w:p>
      <w:pPr>
        <w:ind w:firstLine="709"/>
        <w:jc w:val="both"/>
      </w:pPr>
      <w:r>
        <w:t>*</w:t>
      </w:r>
      <w:r>
        <w:rPr>
          <w:i/>
        </w:rPr>
        <w:t>Подзадачи.</w:t>
      </w:r>
      <w:r>
        <w:t>*</w:t>
      </w:r>
    </w:p>
    <w:p>
      <w:pPr>
        <w:ind w:firstLine="709"/>
        <w:jc w:val="both"/>
      </w:pPr>
      <w:r>
        <w:t>– UC-01.1 Показ формы и подсказок к полям (шаги 1–6);</w:t>
      </w:r>
    </w:p>
    <w:p>
      <w:pPr>
        <w:ind w:firstLine="709"/>
        <w:jc w:val="both"/>
      </w:pPr>
      <w:r>
        <w:t>– UC-01.2 Очистка и проверка значений по П1–П6 (шаги 8–9);</w:t>
      </w:r>
    </w:p>
    <w:p>
      <w:pPr>
        <w:ind w:firstLine="709"/>
        <w:jc w:val="both"/>
      </w:pPr>
      <w:r>
        <w:t>– UC-01.3 Показ ошибок, фокус и повторная проверка (A1, A2);</w:t>
      </w:r>
    </w:p>
    <w:p>
      <w:pPr>
        <w:ind w:firstLine="709"/>
        <w:jc w:val="both"/>
      </w:pPr>
      <w:r>
        <w:t>– UC-01.4 Сохранение заявки в LocalStorage (шаг 10, A4, E1);</w:t>
      </w:r>
    </w:p>
    <w:p>
      <w:pPr>
        <w:ind w:firstLine="709"/>
        <w:jc w:val="both"/>
      </w:pPr>
      <w:r>
        <w:t>– UC-01.5 Переход на страницу благодарности (шаг 11).</w:t>
      </w:r>
    </w:p>
    <w:p>
      <w:pPr>
        <w:ind w:firstLine="709"/>
        <w:jc w:val="both"/>
      </w:pPr>
      <w:r>
        <w:t>*</w:t>
      </w:r>
      <w:r>
        <w:rPr>
          <w:i/>
        </w:rPr>
        <w:t>Связанные задачи и use case.</w:t>
      </w:r>
      <w:r>
        <w:t>*</w:t>
      </w:r>
    </w:p>
    <w:p>
      <w:pPr>
        <w:ind w:firstLine="709"/>
        <w:jc w:val="both"/>
      </w:pPr>
      <w:r>
        <w:t>– UC-00 «Прочитать политику конфиденциальности»: ссылка в тексте согласия ведёт на privacy.html (шаг 6);</w:t>
      </w:r>
    </w:p>
    <w:p>
      <w:pPr>
        <w:ind w:firstLine="709"/>
        <w:jc w:val="both"/>
      </w:pPr>
      <w:r>
        <w:t>– Лаб. 2: тест-кейсы TC-WL-001…022;</w:t>
      </w:r>
    </w:p>
    <w:p>
      <w:pPr>
        <w:ind w:firstLine="709"/>
        <w:jc w:val="both"/>
      </w:pPr>
      <w:r>
        <w:t>– Лаб. 3: проверки SM-07, CP-35, CP-36;</w:t>
      </w:r>
    </w:p>
    <w:p>
      <w:pPr>
        <w:ind w:firstLine="709"/>
        <w:jc w:val="both"/>
      </w:pPr>
      <w:r>
        <w:t>– Дефекты реализации: D-1 (повторные заявки), D-2 (потеря заявки при сбое хранилища).</w:t>
      </w:r>
    </w:p>
    <w:p>
      <w:pPr>
        <w:ind w:firstLine="709"/>
        <w:jc w:val="both"/>
      </w:pPr>
      <w:r>
        <w:t>*</w:t>
      </w:r>
      <w:r>
        <w:rPr>
          <w:i/>
        </w:rPr>
        <w:t>Соответствие STAR.</w:t>
      </w:r>
      <w:r>
        <w:t>*</w:t>
      </w:r>
    </w:p>
    <w:p>
      <w:pPr>
        <w:ind w:firstLine="709"/>
        <w:jc w:val="both"/>
      </w:pPr>
      <w:r>
        <w:t>– Situation (ситуация): предусловия 1–2;</w:t>
      </w:r>
    </w:p>
    <w:p>
      <w:pPr>
        <w:ind w:firstLine="709"/>
        <w:jc w:val="both"/>
      </w:pPr>
      <w:r>
        <w:t>– Task (задача): краткое описание цели и задачи;</w:t>
      </w:r>
    </w:p>
    <w:p>
      <w:pPr>
        <w:ind w:firstLine="709"/>
        <w:jc w:val="both"/>
      </w:pPr>
      <w:r>
        <w:t>– Action (действия): основной поток, шаги 1–11, и альтернативные потоки A1–A4;</w:t>
      </w:r>
    </w:p>
    <w:p>
      <w:pPr>
        <w:ind w:firstLine="709"/>
        <w:jc w:val="both"/>
      </w:pPr>
      <w:r>
        <w:t>– Result (результат): постусловия и исключительные ситуации E1–E2.</w:t>
      </w:r>
    </w:p>
    <w:p>
      <w:pPr>
        <w:ind w:firstLine="709"/>
        <w:jc w:val="both"/>
      </w:pPr>
      <w:r>
        <w:t>*</w:t>
      </w:r>
      <w:r>
        <w:rPr>
          <w:i/>
        </w:rPr>
        <w:t>Основной актор.</w:t>
      </w:r>
      <w:r>
        <w:t>*</w:t>
      </w:r>
    </w:p>
    <w:p>
      <w:pPr>
        <w:ind w:firstLine="709"/>
        <w:jc w:val="both"/>
      </w:pPr>
      <w:r>
        <w:t>– Посетитель сайта (неавторизованный пользователь). Внешних систем в сценарии нет.</w:t>
      </w:r>
    </w:p>
    <w:p>
      <w:pPr>
        <w:ind w:firstLine="709"/>
        <w:jc w:val="both"/>
      </w:pPr>
      <w:r>
        <w:t>*</w:t>
      </w:r>
      <w:r>
        <w:rPr>
          <w:i/>
        </w:rPr>
        <w:t>Предусловия.</w:t>
      </w:r>
      <w:r>
        <w:t>*</w:t>
      </w:r>
    </w:p>
    <w:p>
      <w:pPr>
        <w:ind w:firstLine="709"/>
        <w:jc w:val="both"/>
      </w:pPr>
      <w:r>
        <w:t>– 1. Открыта главная страница сайта (русская или английская версия);</w:t>
      </w:r>
    </w:p>
    <w:p>
      <w:pPr>
        <w:ind w:firstLine="709"/>
        <w:jc w:val="both"/>
      </w:pPr>
      <w:r>
        <w:t>– 2. Форма «Записаться в бету» отображается, все поля пусты, поле «Размер команды» содержит 0.</w:t>
      </w:r>
    </w:p>
    <w:p>
      <w:pPr>
        <w:ind w:firstLine="709"/>
        <w:jc w:val="both"/>
      </w:pPr>
      <w:r>
        <w:t>*</w:t>
      </w:r>
      <w:r>
        <w:rPr>
          <w:i/>
        </w:rPr>
        <w:t>Основной поток событий.</w:t>
      </w:r>
      <w:r>
        <w:t>*</w:t>
      </w:r>
    </w:p>
    <w:p>
      <w:pPr>
        <w:ind w:firstLine="709"/>
        <w:jc w:val="both"/>
      </w:pPr>
      <w:r>
        <w:t>– 1. Посетитель вводит имя в поле «Имя»;</w:t>
      </w:r>
    </w:p>
    <w:p>
      <w:pPr>
        <w:ind w:firstLine="709"/>
        <w:jc w:val="both"/>
      </w:pPr>
      <w:r>
        <w:t>– 2. Посетитель вводит адрес в поле «Электронная почта»;</w:t>
      </w:r>
    </w:p>
    <w:p>
      <w:pPr>
        <w:ind w:firstLine="709"/>
        <w:jc w:val="both"/>
      </w:pPr>
      <w:r>
        <w:t>– 3. Посетитель выбирает значение в списке «Нотация»;</w:t>
      </w:r>
    </w:p>
    <w:p>
      <w:pPr>
        <w:ind w:firstLine="709"/>
        <w:jc w:val="both"/>
      </w:pPr>
      <w:r>
        <w:t>– 4. Посетитель вводит целое число в поле «Размер команды»;</w:t>
      </w:r>
    </w:p>
    <w:p>
      <w:pPr>
        <w:ind w:firstLine="709"/>
        <w:jc w:val="both"/>
      </w:pPr>
      <w:r>
        <w:t>– 5. Посетитель при желании вводит текст в поле «Комментарий»;</w:t>
      </w:r>
    </w:p>
    <w:p>
      <w:pPr>
        <w:ind w:firstLine="709"/>
        <w:jc w:val="both"/>
      </w:pPr>
      <w:r>
        <w:t>– 6. Посетитель отмечает флажок согласия;</w:t>
      </w:r>
    </w:p>
    <w:p>
      <w:pPr>
        <w:ind w:firstLine="709"/>
        <w:jc w:val="both"/>
      </w:pPr>
      <w:r>
        <w:t>– 7. Посетитель нажимает кнопку «Отправить»;</w:t>
      </w:r>
    </w:p>
    <w:p>
      <w:pPr>
        <w:ind w:firstLine="709"/>
        <w:jc w:val="both"/>
      </w:pPr>
      <w:r>
        <w:t>– 8. Система удаляет пробелы по краям у имени, почты и комментария;</w:t>
      </w:r>
    </w:p>
    <w:p>
      <w:pPr>
        <w:ind w:firstLine="709"/>
        <w:jc w:val="both"/>
      </w:pPr>
      <w:r>
        <w:t>– 9. Система проверяет все поля по правилам П1–П6 (ниже);</w:t>
      </w:r>
    </w:p>
    <w:p>
      <w:pPr>
        <w:ind w:firstLine="709"/>
        <w:jc w:val="both"/>
      </w:pPr>
      <w:r>
        <w:t>– 10. Система сохраняет заявку в LocalStorage браузера под ключом dslkit.waitlist: имя, почта, нотация, размер команды, комментарий, время создания;</w:t>
      </w:r>
    </w:p>
    <w:p>
      <w:pPr>
        <w:ind w:firstLine="709"/>
        <w:jc w:val="both"/>
      </w:pPr>
      <w:r>
        <w:t>– 11. Система открывает страницу благодарности thanks.html.</w:t>
      </w:r>
    </w:p>
    <w:p>
      <w:pPr>
        <w:ind w:firstLine="709"/>
        <w:jc w:val="both"/>
      </w:pPr>
      <w:r>
        <w:t>*</w:t>
      </w:r>
      <w:r>
        <w:rPr>
          <w:i/>
        </w:rPr>
        <w:t>Правила проверки полей.</w:t>
      </w:r>
      <w:r>
        <w:t>*</w:t>
      </w:r>
    </w:p>
    <w:p>
      <w:pPr>
        <w:ind w:firstLine="709"/>
        <w:jc w:val="both"/>
      </w:pPr>
      <w:r>
        <w:t>– П1. Имя: 2–60 символов, начинается с буквы, далее буквы, пробел, дефис, апостроф;</w:t>
      </w:r>
    </w:p>
    <w:p>
      <w:pPr>
        <w:ind w:firstLine="709"/>
        <w:jc w:val="both"/>
      </w:pPr>
      <w:r>
        <w:t>– П2. Почта: вид name@domain.zone, домен верхнего уровня не короче двух символов, длина не более 120;</w:t>
      </w:r>
    </w:p>
    <w:p>
      <w:pPr>
        <w:ind w:firstLine="709"/>
        <w:jc w:val="both"/>
      </w:pPr>
      <w:r>
        <w:t>– П3. Нотация: одно из значений idef0, dfd, erd, bpmn, uml, petri;</w:t>
      </w:r>
    </w:p>
    <w:p>
      <w:pPr>
        <w:ind w:firstLine="709"/>
        <w:jc w:val="both"/>
      </w:pPr>
      <w:r>
        <w:t>– П4. Размер команды: целое число от 0 до 500 включительно;</w:t>
      </w:r>
    </w:p>
    <w:p>
      <w:pPr>
        <w:ind w:firstLine="709"/>
        <w:jc w:val="both"/>
      </w:pPr>
      <w:r>
        <w:t>– П5. Комментарий: не более 500 символов, поле необязательное;</w:t>
      </w:r>
    </w:p>
    <w:p>
      <w:pPr>
        <w:ind w:firstLine="709"/>
        <w:jc w:val="both"/>
      </w:pPr>
      <w:r>
        <w:t>– П6. Согласие: флажок обязательно отмечен.</w:t>
      </w:r>
    </w:p>
    <w:p>
      <w:pPr>
        <w:ind w:firstLine="709"/>
        <w:jc w:val="both"/>
      </w:pPr>
      <w:r>
        <w:t>*</w:t>
      </w:r>
      <w:r>
        <w:rPr>
          <w:i/>
        </w:rPr>
        <w:t>Альтернативные потоки.</w:t>
      </w:r>
      <w:r>
        <w:t>*</w:t>
      </w:r>
    </w:p>
    <w:p>
      <w:pPr>
        <w:ind w:firstLine="709"/>
        <w:jc w:val="both"/>
      </w:pPr>
      <w:r>
        <w:t>– A1. Одно или несколько полей не прошли проверку (шаг 9): под каждым неверным полем появляется сообщение об ошибке, фокус переходит на первое неверное поле, заявка не сохраняется. После исправления поля и ухода из него сообщение исчезает. Сценарий продолжается с шага 7;</w:t>
      </w:r>
    </w:p>
    <w:p>
      <w:pPr>
        <w:ind w:firstLine="709"/>
        <w:jc w:val="both"/>
      </w:pPr>
      <w:r>
        <w:t>– A2. Согласие не отмечено (шаг 9): применяется A1 для поля согласия;</w:t>
      </w:r>
    </w:p>
    <w:p>
      <w:pPr>
        <w:ind w:firstLine="709"/>
        <w:jc w:val="both"/>
      </w:pPr>
      <w:r>
        <w:t>– A3. Посетитель закрывает страницу или уходит со страницы до шага 7: данные не сохраняются, состояние системы не меняется;</w:t>
      </w:r>
    </w:p>
    <w:p>
      <w:pPr>
        <w:ind w:firstLine="709"/>
        <w:jc w:val="both"/>
      </w:pPr>
      <w:r>
        <w:t>– A4. Повторная заявка с тем же адресом почты (шаг 10): заявка принимается как новая отдельная запись, сообщения о дубликате нет.</w:t>
      </w:r>
    </w:p>
    <w:p>
      <w:pPr>
        <w:ind w:firstLine="709"/>
        <w:jc w:val="both"/>
      </w:pPr>
      <w:r>
        <w:t>*</w:t>
      </w:r>
      <w:r>
        <w:rPr>
          <w:i/>
        </w:rPr>
        <w:t>Постусловия.</w:t>
      </w:r>
      <w:r>
        <w:t>*</w:t>
      </w:r>
    </w:p>
    <w:p>
      <w:pPr>
        <w:ind w:firstLine="709"/>
        <w:jc w:val="both"/>
      </w:pPr>
      <w:r>
        <w:t>– Успех: в LocalStorage на одну запись больше, открыта страница thanks.html;</w:t>
      </w:r>
    </w:p>
    <w:p>
      <w:pPr>
        <w:ind w:firstLine="709"/>
        <w:jc w:val="both"/>
      </w:pPr>
      <w:r>
        <w:t>– Ошибка проверки (A1, A2): записей не добавилось, посетитель остаётся на главной странице, введённые значения сохранены в полях.</w:t>
      </w:r>
    </w:p>
    <w:p>
      <w:pPr>
        <w:ind w:firstLine="709"/>
        <w:jc w:val="both"/>
      </w:pPr>
      <w:r>
        <w:t>*</w:t>
      </w:r>
      <w:r>
        <w:rPr>
          <w:i/>
        </w:rPr>
        <w:t>Исключительные ситуации.</w:t>
      </w:r>
      <w:r>
        <w:t>*</w:t>
      </w:r>
    </w:p>
    <w:p>
      <w:pPr>
        <w:ind w:firstLine="709"/>
        <w:jc w:val="both"/>
      </w:pPr>
      <w:r>
        <w:t>– E1. Браузер не позволяет записать в LocalStorage (хранилище переполнено или запрещено, шаг 10): система всё равно открывает страницу благодарности, заявка не сохраняется, сообщения об ошибке нет. Это известное ограничение текущей версии (дефект D-2 лабораторной работы №1);</w:t>
      </w:r>
    </w:p>
    <w:p>
      <w:pPr>
        <w:ind w:firstLine="709"/>
        <w:jc w:val="both"/>
      </w:pPr>
      <w:r>
        <w:t>– E2. Одно из полей имеет недопустимый тип данных (например, текст в поле «Размер команды»): обрабатывается как A1 для этого поля.</w:t>
      </w:r>
    </w:p>
    <w:p>
      <w:pPr>
        <w:ind w:firstLine="709"/>
        <w:jc w:val="both"/>
      </w:pPr>
      <w:r>
        <w:t>Трассировка: правило П1 проверяют TC-WL-002…007, П2 008…011, П3 018, П4 012…017, П5 019 и 020, П6 021, поток A1 022.</w:t>
      </w:r>
    </w:p>
    <w:p>
      <w:pPr>
        <w:ind w:firstLine="709"/>
        <w:jc w:val="both"/>
      </w:pPr>
      <w:r>
        <w:t>Требования к полям приведены в таблице ниже.</w:t>
      </w:r>
    </w:p>
    <w:p>
      <w:pPr>
        <w:keepNext/>
        <w:jc w:val="left"/>
      </w:pPr>
      <w:r>
        <w:t>Таблица 3.1 – Требования к полям формы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Поле</w:t>
            </w:r>
          </w:p>
        </w:tc>
        <w:tc>
          <w:tcPr>
            <w:tcW w:type="dxa" w:w="4677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Правило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Начинается с буквы; буквы, пробел, апостроф, дефис; длина от 2 до 60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Формат адреса с доменом верхнего уровня; длина не более 120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Одно из: idef0, dfd, erd, bpmn, uml, petri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Целое число от 0 до 500 (допустима строка из цифр)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 более 500 символов, необязательное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</w:t>
            </w:r>
          </w:p>
        </w:tc>
        <w:tc>
          <w:tcPr>
            <w:tcW w:type="dxa" w:w="4677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Только true</w:t>
            </w:r>
          </w:p>
        </w:tc>
      </w:tr>
    </w:tbl>
    <w:p/>
    <w:p>
      <w:pPr>
        <w:pStyle w:val="Heading2"/>
        <w:ind w:firstLine="709"/>
        <w:jc w:val="left"/>
      </w:pPr>
      <w:r>
        <w:rPr>
          <w:b/>
        </w:rPr>
        <w:t>3.2 Классы эквивалентности и границы</w:t>
      </w:r>
    </w:p>
    <w:p>
      <w:pPr>
        <w:ind w:firstLine="709"/>
        <w:jc w:val="both"/>
      </w:pPr>
      <w:r>
        <w:t>Для каждого поля выделены допустимый и недопустимые классы; границы проверяются парами «последнее допустимое и первое недопустимое» значение (таблица ниже).</w:t>
      </w:r>
    </w:p>
    <w:p>
      <w:pPr>
        <w:keepNext/>
        <w:jc w:val="left"/>
      </w:pPr>
      <w:r>
        <w:t>Таблица 3.2 – Классы эквивалентности и граничные значения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Поле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Допустимые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Недопустимые</w:t>
            </w:r>
          </w:p>
        </w:tc>
        <w:tc>
          <w:tcPr>
            <w:tcW w:type="dxa" w:w="233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Границы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Буквы 2–60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Цифры, 1 символ, более 60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1 / 2 / 60 / 61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Корректный адрес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Без @, без домена, более 120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120 / 121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0–500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Отрицательное, больше 500, не число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-1 / 0 / 500 / 501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Из списка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Любое другое значение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0–500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Более 500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500 / 501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true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false, отсутствует</w:t>
            </w:r>
          </w:p>
        </w:tc>
        <w:tc>
          <w:tcPr>
            <w:tcW w:type="dxa" w:w="233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pStyle w:val="Heading2"/>
        <w:ind w:firstLine="709"/>
        <w:jc w:val="left"/>
      </w:pPr>
      <w:r>
        <w:rPr>
          <w:b/>
        </w:rPr>
        <w:t>3.3 Тест-кейсы и результаты</w:t>
      </w:r>
    </w:p>
    <w:p>
      <w:pPr>
        <w:ind w:firstLine="709"/>
        <w:jc w:val="both"/>
      </w:pPr>
      <w:r>
        <w:t>Разработано 22 тест-кейсов: позитивные, негативные и граничные. Идентификаторы в таблице сокращены: полный вид TC-WL-NNN. В столбце «Данные» указаны только поля, отличающиеся от базового корректного набора (name=Анна Иванова, email=anna@example.com, notation=idef0, team=5, comment пустой, consent=true). Общие предусловия: проект запущен, форма открыта, поля пусты. Постусловие: данные не сохраняются, состояние системы не меняется. Шаги общие: 1) подать набор данных на вход проверки формы; 2) получить список неверных полей. Ожидаемый результат указан в таблице.</w:t>
      </w:r>
    </w:p>
    <w:p>
      <w:pPr>
        <w:keepNext/>
        <w:jc w:val="left"/>
      </w:pPr>
      <w:r>
        <w:t>Таблица 3.3 – Тест-кейсы и результаты выполнения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ID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Тип, приоритет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Заголовок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Данные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Ожидаемый</w:t>
            </w:r>
          </w:p>
        </w:tc>
        <w:tc>
          <w:tcPr>
            <w:tcW w:type="dxa" w:w="1559"/>
          </w:tcPr>
          <w:p>
            <w:pPr>
              <w:spacing w:line="240" w:lineRule="auto"/>
              <w:jc w:val="center"/>
            </w:pPr>
            <w:r/>
            <w:r>
              <w:rPr>
                <w:sz w:val="24"/>
              </w:rPr>
              <w:t>Фактический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WL-001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позитивный,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Все поля корректны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все поля корректны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WL-002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Имя из 1 символа (ниже границы 2)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name="A"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WL-003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Имя из 2 символов (нижняя граница)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name="Ян"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WL-004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Имя из 60 символов (верхняя граница)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name=aaaaa… (60)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WL-005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Имя из 61 символа (выше границы)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name=aaaaa… (61)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WL-006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Имя с цифрой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name="Anna1"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WL-007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позитивный, Low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Имя с апострофом и дефисом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name="O'Neil-Smith"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WL-008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без символа @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email=anna.… (16)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WL-009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без домена верхнего уровня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email="anna@example"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WL-010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длиной 120 символов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email=aaaaa… (120)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WL-011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длиной 121 символ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email=aaaaa… (121)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email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WL-012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Размер команды 0 (нижняя граница)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team=0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WL-013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Размер команды 500 (верхняя граница)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team=500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WL-014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Размер команды 501 (выше границы)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team=501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WL-015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Размер команды -1 (ниже границы)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team=-1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WL-016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Medium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Размер команды — не число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team="abc"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WL-017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позитивный, Low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Размер команды строкой "12"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team="12"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WL-018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Нотация вне списка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notation="xyz"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notation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WL-019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Low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Комментарий 500 символов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comment=xxxxx… (500)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ошибок нет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WL-020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граничный, Low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Комментарий 501 символ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comment=xxxxx… (501)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comment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WL-021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Согласие на обработку не дано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consent=false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consent (Passed)</w:t>
            </w:r>
          </w:p>
        </w:tc>
      </w:tr>
      <w:tr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WL-022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негативный, High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Пустая форма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name=undefined; email=undefined; notation=undefined; team=undefined; comment=undefined; consent=undefined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name, email, notation, team, consent</w:t>
            </w:r>
          </w:p>
        </w:tc>
        <w:tc>
          <w:tcPr>
            <w:tcW w:type="dxa" w:w="1559"/>
          </w:tcPr>
          <w:p>
            <w:pPr>
              <w:spacing w:line="240" w:lineRule="auto"/>
              <w:jc w:val="left"/>
            </w:pPr>
            <w:r/>
            <w:r>
              <w:rPr>
                <w:sz w:val="24"/>
              </w:rPr>
              <w:t>name, email, notation, team, consent (Passed)</w:t>
            </w:r>
          </w:p>
        </w:tc>
      </w:tr>
    </w:tbl>
    <w:p/>
    <w:p>
      <w:pPr>
        <w:pStyle w:val="Heading1"/>
        <w:ind w:firstLine="709"/>
        <w:jc w:val="left"/>
      </w:pPr>
      <w:r>
        <w:rPr>
          <w:b/>
        </w:rPr>
        <w:t>4 АНАЛИЗ РЕЗУЛЬТАТОВ</w:t>
      </w:r>
    </w:p>
    <w:p>
      <w:pPr>
        <w:ind w:firstLine="709"/>
        <w:jc w:val="both"/>
      </w:pPr>
      <w:r>
        <w:t>Выполнено 22 тест-кейсов, пройдено 22, не пройдено 0. Дефектов не выявлено: проверка полей соответствует требованиям на всех границах. Попутно исправлена ошибка самих тестов на этапе отладки (неверный формат тестовых данных), к продукту она отношения не имеет.</w:t>
      </w:r>
    </w:p>
    <w:p>
      <w:r>
        <w:br w:type="page"/>
      </w:r>
    </w:p>
    <w:p>
      <w:pPr>
        <w:pStyle w:val="Heading1"/>
        <w:ind w:firstLine="709"/>
        <w:jc w:val="left"/>
      </w:pPr>
      <w:r>
        <w:rPr>
          <w:b/>
        </w:rPr>
        <w:t>5 ВЫВОД</w:t>
      </w:r>
    </w:p>
    <w:p>
      <w:pPr>
        <w:ind w:firstLine="709"/>
        <w:jc w:val="both"/>
      </w:pPr>
      <w:r>
        <w:t>Освоены оформление тест-кейсов по шаблону, эквивалентное разбиение и анализ граничных значений. Тест-кейсы автоматизированы (команда npm run tc:lab2) и повторяются без участия человека.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360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360" w:lineRule="exact" w:line="36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360" w:lineRule="exact" w:line="36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360" w:lineRule="exact" w:line="36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ing">
    <w:name w:val="Listing"/>
    <w:basedOn w:val="Normal"/>
    <w:pPr>
      <w:spacing w:line="240" w:lineRule="auto" w:before="0" w:after="0"/>
      <w:ind w:firstLine="0" w:left="0" w:right="0"/>
      <w:jc w:val="left"/>
    </w:pPr>
    <w:rPr>
      <w:rFonts w:ascii="Times New Roman" w:hAnsi="Times New Roman" w:eastAsia="Times New Roman"/>
      <w:i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