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jc w:val="center"/>
      </w:pPr>
      <w:r>
        <w:rPr>
          <w:b w:val="0"/>
        </w:rPr>
        <w:t>Министерство образования Республики Беларусь</w:t>
      </w:r>
    </w:p>
    <w:p>
      <w:pPr>
        <w:keepLines/>
      </w:pPr>
    </w:p>
    <w:p>
      <w:pPr>
        <w:keepLines/>
        <w:jc w:val="center"/>
      </w:pPr>
      <w:r>
        <w:rPr>
          <w:b w:val="0"/>
        </w:rPr>
        <w:t>Учреждение образования</w:t>
      </w:r>
    </w:p>
    <w:p>
      <w:pPr>
        <w:keepLines/>
        <w:jc w:val="center"/>
      </w:pPr>
      <w:r>
        <w:rPr>
          <w:b w:val="0"/>
        </w:rPr>
        <w:t>БЕЛОРУССКИЙ ГОСУДАРСТВЕННЫЙ УНИВЕРСИТЕТ</w:t>
      </w:r>
    </w:p>
    <w:p>
      <w:pPr>
        <w:keepLines/>
        <w:jc w:val="center"/>
      </w:pPr>
      <w:r>
        <w:rPr>
          <w:b w:val="0"/>
        </w:rPr>
        <w:t>ИНФОРМАТИКИ И РАДИОЭЛЕКТРОНИКИ</w:t>
      </w:r>
    </w:p>
    <w:p>
      <w:pPr>
        <w:keepLines/>
      </w:pPr>
    </w:p>
    <w:p>
      <w:pPr>
        <w:keepLines/>
      </w:pPr>
    </w:p>
    <w:p>
      <w:pPr>
        <w:keepLines/>
        <w:tabs>
          <w:tab w:pos="1984" w:val="left"/>
        </w:tabs>
      </w:pPr>
      <w:r>
        <w:t>Факультет</w:t>
        <w:tab/>
        <w:t>&lt;факультет&gt;</w:t>
      </w:r>
    </w:p>
    <w:p>
      <w:pPr>
        <w:keepLines/>
      </w:pPr>
    </w:p>
    <w:p>
      <w:pPr>
        <w:keepLines/>
        <w:tabs>
          <w:tab w:pos="1984" w:val="left"/>
        </w:tabs>
      </w:pPr>
      <w:r>
        <w:t>Кафедра</w:t>
        <w:tab/>
        <w:t>&lt;кафедра&gt;</w:t>
      </w:r>
    </w:p>
    <w:p>
      <w:pPr>
        <w:keepLines/>
      </w:pPr>
    </w:p>
    <w:p>
      <w:pPr>
        <w:keepLines/>
        <w:tabs>
          <w:tab w:pos="1984" w:val="left"/>
        </w:tabs>
      </w:pPr>
      <w:r>
        <w:t>Дисциплина: Тестирование программного обеспечения</w:t>
      </w:r>
    </w:p>
    <w:p>
      <w:pPr>
        <w:keepLines/>
      </w:pPr>
    </w:p>
    <w:p>
      <w:pPr>
        <w:keepLines/>
      </w:pPr>
    </w:p>
    <w:p>
      <w:pPr>
        <w:keepLines/>
        <w:jc w:val="center"/>
      </w:pPr>
      <w:r>
        <w:rPr>
          <w:b w:val="0"/>
        </w:rPr>
        <w:t>ОТЧЁТ</w:t>
      </w:r>
    </w:p>
    <w:p>
      <w:pPr>
        <w:keepLines/>
        <w:jc w:val="center"/>
      </w:pPr>
      <w:r>
        <w:rPr>
          <w:b w:val="0"/>
        </w:rPr>
        <w:t>по лабораторной работе</w:t>
      </w:r>
    </w:p>
    <w:p>
      <w:pPr>
        <w:keepLines/>
        <w:jc w:val="center"/>
      </w:pPr>
      <w:r>
        <w:rPr>
          <w:b w:val="0"/>
        </w:rPr>
        <w:t>на тему</w:t>
      </w:r>
    </w:p>
    <w:p>
      <w:pPr>
        <w:keepLines/>
      </w:pPr>
    </w:p>
    <w:p>
      <w:pPr>
        <w:keepLines/>
        <w:jc w:val="center"/>
      </w:pPr>
      <w:r>
        <w:rPr>
          <w:b/>
        </w:rPr>
        <w:t>РАЗРАБОТКА ЧЕК-ЛИСТОВ И ОТЧЁТА О ТЕСТИРОВАНИИ</w:t>
      </w: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  <w:tabs>
          <w:tab w:pos="9354" w:val="right"/>
        </w:tabs>
      </w:pPr>
      <w:r>
        <w:t>Студент:</w:t>
        <w:tab/>
        <w:t>&lt;И.О. Фамилия студента&gt;</w:t>
      </w:r>
    </w:p>
    <w:p>
      <w:pPr>
        <w:keepLines/>
      </w:pPr>
    </w:p>
    <w:p>
      <w:pPr>
        <w:keepLines/>
      </w:pPr>
    </w:p>
    <w:p>
      <w:pPr>
        <w:keepLines/>
        <w:tabs>
          <w:tab w:pos="9354" w:val="right"/>
        </w:tabs>
      </w:pPr>
      <w:r>
        <w:t>Руководитель:</w:t>
        <w:tab/>
        <w:t>&lt;И.О. Фамилия руководителя&gt;</w:t>
      </w: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  <w:jc w:val="center"/>
      </w:pPr>
      <w:r>
        <w:rPr>
          <w:b w:val="0"/>
        </w:rPr>
        <w:t>Минск 2026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1 ЦЕЛЬ РАБОТЫ</w:t>
      </w:r>
    </w:p>
    <w:p>
      <w:pPr>
        <w:ind w:firstLine="709"/>
        <w:jc w:val="both"/>
      </w:pPr>
      <w:r>
        <w:t>Освоить составление дымового и критического чек-листов, выполнить их на тестовом стенде и оформить отчёт о тестировании с метриками для веб-приложения DSLKit.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2 ТЕОРЕТИЧЕСКИЕ СВЕДЕНИЯ</w:t>
      </w:r>
    </w:p>
    <w:p>
      <w:pPr>
        <w:ind w:firstLine="709"/>
        <w:jc w:val="both"/>
      </w:pPr>
      <w:r>
        <w:t>Теория дана по книге С. С. Куликова «Тестирование программного обеспечения. Базовый курс» (EPAM Systems, 2015–2025), главы 2.2, 2.4 и раздел о метриках.</w:t>
      </w:r>
    </w:p>
    <w:p>
      <w:pPr>
        <w:ind w:firstLine="709"/>
        <w:jc w:val="both"/>
      </w:pPr>
      <w:r>
        <w:t>Чек-лист — набор идей для тест-кейсов. Он логичен, структурирован, полон и не избыточен; ожидаемые результаты в классическом чек-листе не пишут, он служит основой для разработки тест-кейсов и хорошо переиспользуется.</w:t>
      </w:r>
    </w:p>
    <w:p>
      <w:pPr>
        <w:ind w:firstLine="709"/>
        <w:jc w:val="both"/>
      </w:pPr>
      <w:r>
        <w:t>Функции приложения делят по важности на три уровня. Дымовое тестирование проверяет базовые функции, без которых приложение теряет смысл; его проводят после выхода новой сборки, чтобы решить, стоит ли продолжать, а порог прохождения обычно 100 %, и такие проверки хорошо автоматизируются. Тестирование критического пути проверяет функции, которые нужны большинству пользователей ежедневно. Расширенное тестирование охватывает остальные функции.</w:t>
      </w:r>
    </w:p>
    <w:p>
      <w:pPr>
        <w:ind w:firstLine="709"/>
        <w:jc w:val="both"/>
      </w:pPr>
      <w:r>
        <w:t>Отчёт о результатах тестирования фиксирует выполненные проверки, найденные дефекты и выводы. Метрики: доля выполненных тестов, доля успешных, плотность дефектов, покрытие требований; по аналогии считают покрытие классов эквивалентности и граничных условий.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3 ХОД РАБОТЫ</w:t>
      </w:r>
    </w:p>
    <w:p>
      <w:pPr>
        <w:pStyle w:val="Heading2"/>
        <w:ind w:firstLine="709"/>
        <w:jc w:val="left"/>
      </w:pPr>
      <w:r>
        <w:rPr>
          <w:b/>
        </w:rPr>
        <w:t>3.1 Вариант использования</w:t>
      </w:r>
    </w:p>
    <w:p>
      <w:pPr>
        <w:ind w:firstLine="709"/>
        <w:jc w:val="both"/>
      </w:pPr>
      <w:r>
        <w:t>Проверки охватывают вариант использования UC-01, связанный с требованием R4 (проверки SM-07, CP-35, CP-36); тест-кейсы к нему описаны в лабораторной работе 2.</w:t>
      </w:r>
    </w:p>
    <w:p>
      <w:pPr>
        <w:ind w:firstLine="709"/>
        <w:jc w:val="both"/>
      </w:pPr>
      <w:r>
        <w:t>*</w:t>
      </w:r>
      <w:r>
        <w:rPr>
          <w:i/>
        </w:rPr>
        <w:t>Название.</w:t>
      </w:r>
      <w:r>
        <w:t>*</w:t>
      </w:r>
    </w:p>
    <w:p>
      <w:pPr>
        <w:ind w:firstLine="709"/>
        <w:jc w:val="both"/>
      </w:pPr>
      <w:r>
        <w:t>– UC-01. Подать заявку в лист ожидания (форма «Записаться в бету», главная страница DSLKit).</w:t>
      </w:r>
    </w:p>
    <w:p>
      <w:pPr>
        <w:ind w:firstLine="709"/>
        <w:jc w:val="both"/>
      </w:pPr>
      <w:r>
        <w:t>*</w:t>
      </w:r>
      <w:r>
        <w:rPr>
          <w:i/>
        </w:rPr>
        <w:t>Идентификатор, версия, приоритет.</w:t>
      </w:r>
      <w:r>
        <w:t>*</w:t>
      </w:r>
    </w:p>
    <w:p>
      <w:pPr>
        <w:ind w:firstLine="709"/>
        <w:jc w:val="both"/>
      </w:pPr>
      <w:r>
        <w:t>– UC-01, версия 1.0, приоритет High: единственный способ оставить контакты для беты.</w:t>
      </w:r>
    </w:p>
    <w:p>
      <w:pPr>
        <w:ind w:firstLine="709"/>
        <w:jc w:val="both"/>
      </w:pPr>
      <w:r>
        <w:t>*</w:t>
      </w:r>
      <w:r>
        <w:rPr>
          <w:i/>
        </w:rPr>
        <w:t>Краткое описание цели и задачи.</w:t>
      </w:r>
      <w:r>
        <w:t>*</w:t>
      </w:r>
    </w:p>
    <w:p>
      <w:pPr>
        <w:ind w:firstLine="709"/>
        <w:jc w:val="both"/>
      </w:pPr>
      <w:r>
        <w:t>– Посетитель оставляет контактные данные и сведения о проекте, чтобы команда DSLKit могла прислать ему приглашение в бету после запуска. Задача формы: принять только корректную заявку и сохранить её.</w:t>
      </w:r>
    </w:p>
    <w:p>
      <w:pPr>
        <w:ind w:firstLine="709"/>
        <w:jc w:val="both"/>
      </w:pPr>
      <w:r>
        <w:t>*</w:t>
      </w:r>
      <w:r>
        <w:rPr>
          <w:i/>
        </w:rPr>
        <w:t>Связанные требования.</w:t>
      </w:r>
      <w:r>
        <w:t>*</w:t>
      </w:r>
    </w:p>
    <w:p>
      <w:pPr>
        <w:ind w:firstLine="709"/>
        <w:jc w:val="both"/>
      </w:pPr>
      <w:r>
        <w:t>– R4 «Форма заявки и валидация» (лаб. 3, раздел 1). Реализация: site/index.html (форма #waitlist-form), site/js/components/waitlist-form.js, site/js/utils/validation.js, site/thanks.html и site/en/thanks.html.</w:t>
      </w:r>
    </w:p>
    <w:p>
      <w:pPr>
        <w:ind w:firstLine="709"/>
        <w:jc w:val="both"/>
      </w:pPr>
      <w:r>
        <w:t>*</w:t>
      </w:r>
      <w:r>
        <w:rPr>
          <w:i/>
        </w:rPr>
        <w:t>Подзадачи.</w:t>
      </w:r>
      <w:r>
        <w:t>*</w:t>
      </w:r>
    </w:p>
    <w:p>
      <w:pPr>
        <w:ind w:firstLine="709"/>
        <w:jc w:val="both"/>
      </w:pPr>
      <w:r>
        <w:t>– UC-01.1 Показ формы и подсказок к полям (шаги 1–6);</w:t>
      </w:r>
    </w:p>
    <w:p>
      <w:pPr>
        <w:ind w:firstLine="709"/>
        <w:jc w:val="both"/>
      </w:pPr>
      <w:r>
        <w:t>– UC-01.2 Очистка и проверка значений по П1–П6 (шаги 8–9);</w:t>
      </w:r>
    </w:p>
    <w:p>
      <w:pPr>
        <w:ind w:firstLine="709"/>
        <w:jc w:val="both"/>
      </w:pPr>
      <w:r>
        <w:t>– UC-01.3 Показ ошибок, фокус и повторная проверка (A1, A2);</w:t>
      </w:r>
    </w:p>
    <w:p>
      <w:pPr>
        <w:ind w:firstLine="709"/>
        <w:jc w:val="both"/>
      </w:pPr>
      <w:r>
        <w:t>– UC-01.4 Сохранение заявки в LocalStorage (шаг 10, A4, E1);</w:t>
      </w:r>
    </w:p>
    <w:p>
      <w:pPr>
        <w:ind w:firstLine="709"/>
        <w:jc w:val="both"/>
      </w:pPr>
      <w:r>
        <w:t>– UC-01.5 Переход на страницу благодарности (шаг 11).</w:t>
      </w:r>
    </w:p>
    <w:p>
      <w:pPr>
        <w:ind w:firstLine="709"/>
        <w:jc w:val="both"/>
      </w:pPr>
      <w:r>
        <w:t>*</w:t>
      </w:r>
      <w:r>
        <w:rPr>
          <w:i/>
        </w:rPr>
        <w:t>Связанные задачи и use case.</w:t>
      </w:r>
      <w:r>
        <w:t>*</w:t>
      </w:r>
    </w:p>
    <w:p>
      <w:pPr>
        <w:ind w:firstLine="709"/>
        <w:jc w:val="both"/>
      </w:pPr>
      <w:r>
        <w:t>– UC-00 «Прочитать политику конфиденциальности»: ссылка в тексте согласия ведёт на privacy.html (шаг 6);</w:t>
      </w:r>
    </w:p>
    <w:p>
      <w:pPr>
        <w:ind w:firstLine="709"/>
        <w:jc w:val="both"/>
      </w:pPr>
      <w:r>
        <w:t>– Лаб. 2: тест-кейсы TC-WL-001…022;</w:t>
      </w:r>
    </w:p>
    <w:p>
      <w:pPr>
        <w:ind w:firstLine="709"/>
        <w:jc w:val="both"/>
      </w:pPr>
      <w:r>
        <w:t>– Лаб. 3: проверки SM-07, CP-35, CP-36;</w:t>
      </w:r>
    </w:p>
    <w:p>
      <w:pPr>
        <w:ind w:firstLine="709"/>
        <w:jc w:val="both"/>
      </w:pPr>
      <w:r>
        <w:t>– Дефекты реализации: D-1 (повторные заявки), D-2 (потеря заявки при сбое хранилища).</w:t>
      </w:r>
    </w:p>
    <w:p>
      <w:pPr>
        <w:ind w:firstLine="709"/>
        <w:jc w:val="both"/>
      </w:pPr>
      <w:r>
        <w:t>*</w:t>
      </w:r>
      <w:r>
        <w:rPr>
          <w:i/>
        </w:rPr>
        <w:t>Соответствие STAR.</w:t>
      </w:r>
      <w:r>
        <w:t>*</w:t>
      </w:r>
    </w:p>
    <w:p>
      <w:pPr>
        <w:ind w:firstLine="709"/>
        <w:jc w:val="both"/>
      </w:pPr>
      <w:r>
        <w:t>– Situation (ситуация): предусловия 1–2;</w:t>
      </w:r>
    </w:p>
    <w:p>
      <w:pPr>
        <w:ind w:firstLine="709"/>
        <w:jc w:val="both"/>
      </w:pPr>
      <w:r>
        <w:t>– Task (задача): краткое описание цели и задачи;</w:t>
      </w:r>
    </w:p>
    <w:p>
      <w:pPr>
        <w:ind w:firstLine="709"/>
        <w:jc w:val="both"/>
      </w:pPr>
      <w:r>
        <w:t>– Action (действия): основной поток, шаги 1–11, и альтернативные потоки A1–A4;</w:t>
      </w:r>
    </w:p>
    <w:p>
      <w:pPr>
        <w:ind w:firstLine="709"/>
        <w:jc w:val="both"/>
      </w:pPr>
      <w:r>
        <w:t>– Result (результат): постусловия и исключительные ситуации E1–E2.</w:t>
      </w:r>
    </w:p>
    <w:p>
      <w:pPr>
        <w:ind w:firstLine="709"/>
        <w:jc w:val="both"/>
      </w:pPr>
      <w:r>
        <w:t>*</w:t>
      </w:r>
      <w:r>
        <w:rPr>
          <w:i/>
        </w:rPr>
        <w:t>Основной актор.</w:t>
      </w:r>
      <w:r>
        <w:t>*</w:t>
      </w:r>
    </w:p>
    <w:p>
      <w:pPr>
        <w:ind w:firstLine="709"/>
        <w:jc w:val="both"/>
      </w:pPr>
      <w:r>
        <w:t>– Посетитель сайта (неавторизованный пользователь). Внешних систем в сценарии нет.</w:t>
      </w:r>
    </w:p>
    <w:p>
      <w:pPr>
        <w:ind w:firstLine="709"/>
        <w:jc w:val="both"/>
      </w:pPr>
      <w:r>
        <w:t>*</w:t>
      </w:r>
      <w:r>
        <w:rPr>
          <w:i/>
        </w:rPr>
        <w:t>Предусловия.</w:t>
      </w:r>
      <w:r>
        <w:t>*</w:t>
      </w:r>
    </w:p>
    <w:p>
      <w:pPr>
        <w:ind w:firstLine="709"/>
        <w:jc w:val="both"/>
      </w:pPr>
      <w:r>
        <w:t>– 1. Открыта главная страница сайта (русская или английская версия);</w:t>
      </w:r>
    </w:p>
    <w:p>
      <w:pPr>
        <w:ind w:firstLine="709"/>
        <w:jc w:val="both"/>
      </w:pPr>
      <w:r>
        <w:t>– 2. Форма «Записаться в бету» отображается, все поля пусты, поле «Размер команды» содержит 0.</w:t>
      </w:r>
    </w:p>
    <w:p>
      <w:pPr>
        <w:ind w:firstLine="709"/>
        <w:jc w:val="both"/>
      </w:pPr>
      <w:r>
        <w:t>*</w:t>
      </w:r>
      <w:r>
        <w:rPr>
          <w:i/>
        </w:rPr>
        <w:t>Основной поток событий.</w:t>
      </w:r>
      <w:r>
        <w:t>*</w:t>
      </w:r>
    </w:p>
    <w:p>
      <w:pPr>
        <w:ind w:firstLine="709"/>
        <w:jc w:val="both"/>
      </w:pPr>
      <w:r>
        <w:t>– 1. Посетитель вводит имя в поле «Имя»;</w:t>
      </w:r>
    </w:p>
    <w:p>
      <w:pPr>
        <w:ind w:firstLine="709"/>
        <w:jc w:val="both"/>
      </w:pPr>
      <w:r>
        <w:t>– 2. Посетитель вводит адрес в поле «Электронная почта»;</w:t>
      </w:r>
    </w:p>
    <w:p>
      <w:pPr>
        <w:ind w:firstLine="709"/>
        <w:jc w:val="both"/>
      </w:pPr>
      <w:r>
        <w:t>– 3. Посетитель выбирает значение в списке «Нотация»;</w:t>
      </w:r>
    </w:p>
    <w:p>
      <w:pPr>
        <w:ind w:firstLine="709"/>
        <w:jc w:val="both"/>
      </w:pPr>
      <w:r>
        <w:t>– 4. Посетитель вводит целое число в поле «Размер команды»;</w:t>
      </w:r>
    </w:p>
    <w:p>
      <w:pPr>
        <w:ind w:firstLine="709"/>
        <w:jc w:val="both"/>
      </w:pPr>
      <w:r>
        <w:t>– 5. Посетитель при желании вводит текст в поле «Комментарий»;</w:t>
      </w:r>
    </w:p>
    <w:p>
      <w:pPr>
        <w:ind w:firstLine="709"/>
        <w:jc w:val="both"/>
      </w:pPr>
      <w:r>
        <w:t>– 6. Посетитель отмечает флажок согласия;</w:t>
      </w:r>
    </w:p>
    <w:p>
      <w:pPr>
        <w:ind w:firstLine="709"/>
        <w:jc w:val="both"/>
      </w:pPr>
      <w:r>
        <w:t>– 7. Посетитель нажимает кнопку «Отправить»;</w:t>
      </w:r>
    </w:p>
    <w:p>
      <w:pPr>
        <w:ind w:firstLine="709"/>
        <w:jc w:val="both"/>
      </w:pPr>
      <w:r>
        <w:t>– 8. Система удаляет пробелы по краям у имени, почты и комментария;</w:t>
      </w:r>
    </w:p>
    <w:p>
      <w:pPr>
        <w:ind w:firstLine="709"/>
        <w:jc w:val="both"/>
      </w:pPr>
      <w:r>
        <w:t>– 9. Система проверяет все поля по правилам П1–П6 (ниже);</w:t>
      </w:r>
    </w:p>
    <w:p>
      <w:pPr>
        <w:ind w:firstLine="709"/>
        <w:jc w:val="both"/>
      </w:pPr>
      <w:r>
        <w:t>– 10. Система сохраняет заявку в LocalStorage браузера под ключом dslkit.waitlist: имя, почта, нотация, размер команды, комментарий, время создания;</w:t>
      </w:r>
    </w:p>
    <w:p>
      <w:pPr>
        <w:ind w:firstLine="709"/>
        <w:jc w:val="both"/>
      </w:pPr>
      <w:r>
        <w:t>– 11. Система открывает страницу благодарности thanks.html.</w:t>
      </w:r>
    </w:p>
    <w:p>
      <w:pPr>
        <w:ind w:firstLine="709"/>
        <w:jc w:val="both"/>
      </w:pPr>
      <w:r>
        <w:t>*</w:t>
      </w:r>
      <w:r>
        <w:rPr>
          <w:i/>
        </w:rPr>
        <w:t>Правила проверки полей.</w:t>
      </w:r>
      <w:r>
        <w:t>*</w:t>
      </w:r>
    </w:p>
    <w:p>
      <w:pPr>
        <w:ind w:firstLine="709"/>
        <w:jc w:val="both"/>
      </w:pPr>
      <w:r>
        <w:t>– П1. Имя: 2–60 символов, начинается с буквы, далее буквы, пробел, дефис, апостроф;</w:t>
      </w:r>
    </w:p>
    <w:p>
      <w:pPr>
        <w:ind w:firstLine="709"/>
        <w:jc w:val="both"/>
      </w:pPr>
      <w:r>
        <w:t>– П2. Почта: вид name@domain.zone, домен верхнего уровня не короче двух символов, длина не более 120;</w:t>
      </w:r>
    </w:p>
    <w:p>
      <w:pPr>
        <w:ind w:firstLine="709"/>
        <w:jc w:val="both"/>
      </w:pPr>
      <w:r>
        <w:t>– П3. Нотация: одно из значений idef0, dfd, erd, bpmn, uml, petri;</w:t>
      </w:r>
    </w:p>
    <w:p>
      <w:pPr>
        <w:ind w:firstLine="709"/>
        <w:jc w:val="both"/>
      </w:pPr>
      <w:r>
        <w:t>– П4. Размер команды: целое число от 0 до 500 включительно;</w:t>
      </w:r>
    </w:p>
    <w:p>
      <w:pPr>
        <w:ind w:firstLine="709"/>
        <w:jc w:val="both"/>
      </w:pPr>
      <w:r>
        <w:t>– П5. Комментарий: не более 500 символов, поле необязательное;</w:t>
      </w:r>
    </w:p>
    <w:p>
      <w:pPr>
        <w:ind w:firstLine="709"/>
        <w:jc w:val="both"/>
      </w:pPr>
      <w:r>
        <w:t>– П6. Согласие: флажок обязательно отмечен.</w:t>
      </w:r>
    </w:p>
    <w:p>
      <w:pPr>
        <w:ind w:firstLine="709"/>
        <w:jc w:val="both"/>
      </w:pPr>
      <w:r>
        <w:t>*</w:t>
      </w:r>
      <w:r>
        <w:rPr>
          <w:i/>
        </w:rPr>
        <w:t>Альтернативные потоки.</w:t>
      </w:r>
      <w:r>
        <w:t>*</w:t>
      </w:r>
    </w:p>
    <w:p>
      <w:pPr>
        <w:ind w:firstLine="709"/>
        <w:jc w:val="both"/>
      </w:pPr>
      <w:r>
        <w:t>– A1. Одно или несколько полей не прошли проверку (шаг 9): под каждым неверным полем появляется сообщение об ошибке, фокус переходит на первое неверное поле, заявка не сохраняется. После исправления поля и ухода из него сообщение исчезает. Сценарий продолжается с шага 7;</w:t>
      </w:r>
    </w:p>
    <w:p>
      <w:pPr>
        <w:ind w:firstLine="709"/>
        <w:jc w:val="both"/>
      </w:pPr>
      <w:r>
        <w:t>– A2. Согласие не отмечено (шаг 9): применяется A1 для поля согласия;</w:t>
      </w:r>
    </w:p>
    <w:p>
      <w:pPr>
        <w:ind w:firstLine="709"/>
        <w:jc w:val="both"/>
      </w:pPr>
      <w:r>
        <w:t>– A3. Посетитель закрывает страницу или уходит со страницы до шага 7: данные не сохраняются, состояние системы не меняется;</w:t>
      </w:r>
    </w:p>
    <w:p>
      <w:pPr>
        <w:ind w:firstLine="709"/>
        <w:jc w:val="both"/>
      </w:pPr>
      <w:r>
        <w:t>– A4. Повторная заявка с тем же адресом почты (шаг 10): заявка принимается как новая отдельная запись, сообщения о дубликате нет.</w:t>
      </w:r>
    </w:p>
    <w:p>
      <w:pPr>
        <w:ind w:firstLine="709"/>
        <w:jc w:val="both"/>
      </w:pPr>
      <w:r>
        <w:t>*</w:t>
      </w:r>
      <w:r>
        <w:rPr>
          <w:i/>
        </w:rPr>
        <w:t>Постусловия.</w:t>
      </w:r>
      <w:r>
        <w:t>*</w:t>
      </w:r>
    </w:p>
    <w:p>
      <w:pPr>
        <w:ind w:firstLine="709"/>
        <w:jc w:val="both"/>
      </w:pPr>
      <w:r>
        <w:t>– Успех: в LocalStorage на одну запись больше, открыта страница thanks.html;</w:t>
      </w:r>
    </w:p>
    <w:p>
      <w:pPr>
        <w:ind w:firstLine="709"/>
        <w:jc w:val="both"/>
      </w:pPr>
      <w:r>
        <w:t>– Ошибка проверки (A1, A2): записей не добавилось, посетитель остаётся на главной странице, введённые значения сохранены в полях.</w:t>
      </w:r>
    </w:p>
    <w:p>
      <w:pPr>
        <w:ind w:firstLine="709"/>
        <w:jc w:val="both"/>
      </w:pPr>
      <w:r>
        <w:t>*</w:t>
      </w:r>
      <w:r>
        <w:rPr>
          <w:i/>
        </w:rPr>
        <w:t>Исключительные ситуации.</w:t>
      </w:r>
      <w:r>
        <w:t>*</w:t>
      </w:r>
    </w:p>
    <w:p>
      <w:pPr>
        <w:ind w:firstLine="709"/>
        <w:jc w:val="both"/>
      </w:pPr>
      <w:r>
        <w:t>– E1. Браузер не позволяет записать в LocalStorage (хранилище переполнено или запрещено, шаг 10): система всё равно открывает страницу благодарности, заявка не сохраняется, сообщения об ошибке нет. Это известное ограничение текущей версии (дефект D-2 лабораторной работы №1);</w:t>
      </w:r>
    </w:p>
    <w:p>
      <w:pPr>
        <w:ind w:firstLine="709"/>
        <w:jc w:val="both"/>
      </w:pPr>
      <w:r>
        <w:t>– E2. Одно из полей имеет недопустимый тип данных (например, текст в поле «Размер команды»): обрабатывается как A1 для этого поля.</w:t>
      </w:r>
    </w:p>
    <w:p>
      <w:pPr>
        <w:pStyle w:val="Heading2"/>
        <w:ind w:firstLine="709"/>
        <w:jc w:val="left"/>
      </w:pPr>
      <w:r>
        <w:rPr>
          <w:b/>
        </w:rPr>
        <w:t>3.2 Анализ требований и модули</w:t>
      </w:r>
    </w:p>
    <w:p>
      <w:pPr>
        <w:ind w:firstLine="709"/>
        <w:jc w:val="both"/>
      </w:pPr>
      <w:r>
        <w:t>Тестируется статический сайт DSLKit, запущенный локальным сервером tools/server.js. Требования и модули приведены в таблице ниже.</w:t>
      </w:r>
    </w:p>
    <w:p>
      <w:pPr>
        <w:keepNext/>
        <w:jc w:val="left"/>
      </w:pPr>
      <w:r>
        <w:t>Таблица 3.1 – Требования и модули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ID</w:t>
            </w:r>
          </w:p>
        </w:tc>
        <w:tc>
          <w:tcPr>
            <w:tcW w:type="dxa" w:w="4677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Модуль и требование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Доступность страниц (главная, редактор, панель, настройки, английская версия)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R2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Загрузка стилей и скриптов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Разбор DSL и преобразование в DOT и Mermaid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R4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Форма заявки и проверка её полей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Обработка ошибок сервера: 404, 405, обход каталогов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Разметка и локализация: lang, h1, title, canonical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Безопасность: CSP и защитные заголовки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R8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PWA: манифест, service worker, robots, sitemap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R9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Локальное хранилище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3.3 Дымовой чек-лист</w:t>
      </w:r>
    </w:p>
    <w:p>
      <w:pPr>
        <w:ind w:firstLine="709"/>
        <w:jc w:val="both"/>
      </w:pPr>
      <w:r>
        <w:t>Минимальный набор из 8 проверок. Критический путь запускается только при его успешном прохождении (иначе статус Blocked).</w:t>
      </w:r>
    </w:p>
    <w:p>
      <w:pPr>
        <w:keepNext/>
        <w:jc w:val="left"/>
      </w:pPr>
      <w:r>
        <w:t>Таблица 3.2 – Дымовой чек-лист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ID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Треб.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Проверка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Статус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Главная страница открывается (200)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Редактор открывается (200)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Панель проектов открывается (200)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Стили главной загружаются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Скрипт главной загружается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Разбор DSL возвращает 2 блока и 1 стрелку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Форма заявки есть на главной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Несуществующий адрес даёт 404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3.4 Чек-лист критического пути</w:t>
      </w:r>
    </w:p>
    <w:p>
      <w:pPr>
        <w:ind w:firstLine="709"/>
        <w:jc w:val="both"/>
      </w:pPr>
      <w:r>
        <w:t>36 проверок основных сценариев (таблица ниже).</w:t>
      </w:r>
    </w:p>
    <w:p>
      <w:pPr>
        <w:keepNext/>
        <w:jc w:val="left"/>
      </w:pPr>
      <w:r>
        <w:t>Таблица 3.3 – Чек-лист критического пути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ID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Треб.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Проверка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Статус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/privacy.html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/thanks.html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/app/dashboard.html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/app/editor.html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/app/settings.html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/app/welcome.html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/en/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/en/privacy.html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/en/thanks.html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Главная: lang="ru", английская версия: lang="en"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На каждой странице ровно один h1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У главной есть canonical и alternate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У каждой страницы есть title и meta viewport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Все локальные ссылки на ресурсы главной открываются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 встроенных скриптов (CSP script-src self)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Заголовок Content-Security-Policy присутствует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X-Frame-Options = DENY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X-Content-Type-Options = nosniff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POST на статику даёт 405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Выход за корень (../) не отдаёт файлы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404 оформлена как HTML сайта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Манифест PWA: корректный JSON с иконками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Service worker доступен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robots.txt и sitemap.xml доступны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parseDsl: тип и заголовок диаграммы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parseDsl: порты блока разобраны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parseDsl: неизвестная строка попадает в skipped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parseDsl: пустой ввод не падает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toDot даёт digraph с обоими блоками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toMermaid возвращает непустой текст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sourceKey: один текст даёт один ключ, разные тексты разные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Хранилище: set/get возвращает значение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Хранилище: remove и значение по умолчанию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Валидация заявки: корректные данные дают пустой список ошибок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Форма: у полей есть label и сообщения об ошибках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</w:tbl>
    <w:p/>
    <w:p>
      <w:pPr>
        <w:pStyle w:val="Heading1"/>
        <w:ind w:firstLine="709"/>
        <w:jc w:val="left"/>
      </w:pPr>
      <w:r>
        <w:rPr>
          <w:b/>
        </w:rPr>
        <w:t>4 РЕЗУЛЬТАТЫ ТЕСТИРОВАНИЯ</w:t>
      </w:r>
    </w:p>
    <w:p>
      <w:pPr>
        <w:pStyle w:val="Heading2"/>
        <w:ind w:firstLine="709"/>
        <w:jc w:val="left"/>
      </w:pPr>
      <w:r>
        <w:rPr>
          <w:b/>
        </w:rPr>
        <w:t>4.1 Общая информация</w:t>
      </w:r>
    </w:p>
    <w:p>
      <w:pPr>
        <w:ind w:firstLine="709"/>
        <w:jc w:val="both"/>
      </w:pPr>
      <w:r>
        <w:t>Проект DSLKit, ветка testing-course, стенд: локальный сервер Node.js, проверки выполнены автоматически командой npm run tc:lab3. Не тестировались: визуальное отображение в браузерах и работа внешнего сервиса Kroki.</w:t>
      </w:r>
    </w:p>
    <w:p>
      <w:pPr>
        <w:pStyle w:val="Heading2"/>
        <w:ind w:firstLine="709"/>
        <w:jc w:val="left"/>
      </w:pPr>
      <w:r>
        <w:rPr>
          <w:b/>
        </w:rPr>
        <w:t>4.2 Метрики</w:t>
      </w:r>
    </w:p>
    <w:p>
      <w:pPr>
        <w:keepNext/>
        <w:jc w:val="left"/>
      </w:pPr>
      <w:r>
        <w:t>Таблица 4.1 – Метрики тестирования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Метрика</w:t>
            </w:r>
          </w:p>
        </w:tc>
        <w:tc>
          <w:tcPr>
            <w:tcW w:type="dxa" w:w="3118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Формула</w:t>
            </w:r>
          </w:p>
        </w:tc>
        <w:tc>
          <w:tcPr>
            <w:tcW w:type="dxa" w:w="3118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Значение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Выполнено тестов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Выполненные / Всего × 100%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100%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Успешные тесты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 / Выполненные × 100%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100%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Плотность дефектов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Дефекты / Количество тестов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Покрытие требований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Покрытые / Всего × 100%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100% (9 из 9)</w:t>
            </w:r>
          </w:p>
        </w:tc>
      </w:tr>
    </w:tbl>
    <w:p/>
    <w:p>
      <w:pPr>
        <w:ind w:firstLine="709"/>
        <w:jc w:val="both"/>
      </w:pPr>
      <w:r>
        <w:t>Всего проверок 44: Passed 44, Failed 0, Blocked 0.</w:t>
      </w:r>
    </w:p>
    <w:p>
      <w:pPr>
        <w:pStyle w:val="Heading2"/>
        <w:ind w:firstLine="709"/>
        <w:jc w:val="left"/>
      </w:pPr>
      <w:r>
        <w:rPr>
          <w:b/>
        </w:rPr>
        <w:t>4.3 Дефекты, риски и выводы</w:t>
      </w:r>
    </w:p>
    <w:p>
      <w:pPr>
        <w:ind w:firstLine="709"/>
        <w:jc w:val="both"/>
      </w:pPr>
      <w:r>
        <w:t>Проваленных проверок нет, баг-репорты не требуются. На этапе отладки найдена и исправлена ошибка в самом тестовом наборе (неверный синтаксис DSL во входных данных), продукт при этом работал верно.</w:t>
      </w:r>
    </w:p>
    <w:p>
      <w:pPr>
        <w:ind w:firstLine="709"/>
        <w:jc w:val="both"/>
      </w:pPr>
      <w:r>
        <w:t>Риски: проверки не охватывают отрисовку в браузере и запросы к внешнему сервису диаграмм. Рекомендация: релиз возможен, браузерные сценарии проверять отдельно.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5 ВЫВОД</w:t>
      </w:r>
    </w:p>
    <w:p>
      <w:pPr>
        <w:ind w:firstLine="709"/>
        <w:jc w:val="both"/>
      </w:pPr>
      <w:r>
        <w:t>Составлены дымовой и критический чек-листы, выполнены на стенде, рассчитаны метрики и оформлен отчёт.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360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 w:lineRule="exact" w:line="36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360" w:lineRule="exact" w:line="36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360" w:lineRule="exact" w:line="36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Normal"/>
    <w:pPr>
      <w:spacing w:line="240" w:lineRule="auto" w:before="0" w:after="0"/>
      <w:ind w:firstLine="0" w:left="0" w:right="0"/>
      <w:jc w:val="left"/>
    </w:pPr>
    <w:rPr>
      <w:rFonts w:ascii="Times New Roman" w:hAnsi="Times New Roman" w:eastAsia="Times New Roman"/>
      <w:i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