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Lines/>
        <w:jc w:val="center"/>
      </w:pPr>
      <w:r>
        <w:rPr>
          <w:b w:val="0"/>
        </w:rPr>
        <w:t>Министерство образования Республики Беларусь</w:t>
      </w:r>
    </w:p>
    <w:p>
      <w:pPr>
        <w:keepLines/>
      </w:pPr>
    </w:p>
    <w:p>
      <w:pPr>
        <w:keepLines/>
        <w:jc w:val="center"/>
      </w:pPr>
      <w:r>
        <w:rPr>
          <w:b w:val="0"/>
        </w:rPr>
        <w:t>Учреждение образования</w:t>
      </w:r>
    </w:p>
    <w:p>
      <w:pPr>
        <w:keepLines/>
        <w:jc w:val="center"/>
      </w:pPr>
      <w:r>
        <w:rPr>
          <w:b w:val="0"/>
        </w:rPr>
        <w:t>БЕЛОРУССКИЙ ГОСУДАРСТВЕННЫЙ УНИВЕРСИТЕТ</w:t>
      </w:r>
    </w:p>
    <w:p>
      <w:pPr>
        <w:keepLines/>
        <w:jc w:val="center"/>
      </w:pPr>
      <w:r>
        <w:rPr>
          <w:b w:val="0"/>
        </w:rPr>
        <w:t>ИНФОРМАТИКИ И РАДИОЭЛЕКТРОНИКИ</w:t>
      </w:r>
    </w:p>
    <w:p>
      <w:pPr>
        <w:keepLines/>
      </w:pPr>
    </w:p>
    <w:p>
      <w:pPr>
        <w:keepLines/>
      </w:pPr>
    </w:p>
    <w:p>
      <w:pPr>
        <w:keepLines/>
        <w:tabs>
          <w:tab w:pos="1984" w:val="left"/>
        </w:tabs>
      </w:pPr>
      <w:r>
        <w:t>Факультет</w:t>
        <w:tab/>
        <w:t>&lt;факультет&gt;</w:t>
      </w:r>
    </w:p>
    <w:p>
      <w:pPr>
        <w:keepLines/>
      </w:pPr>
    </w:p>
    <w:p>
      <w:pPr>
        <w:keepLines/>
        <w:tabs>
          <w:tab w:pos="1984" w:val="left"/>
        </w:tabs>
      </w:pPr>
      <w:r>
        <w:t>Кафедра</w:t>
        <w:tab/>
        <w:t>&lt;кафедра&gt;</w:t>
      </w:r>
    </w:p>
    <w:p>
      <w:pPr>
        <w:keepLines/>
      </w:pPr>
    </w:p>
    <w:p>
      <w:pPr>
        <w:keepLines/>
        <w:tabs>
          <w:tab w:pos="1984" w:val="left"/>
        </w:tabs>
      </w:pPr>
      <w:r>
        <w:t>Дисциплина: Тестирование программного обеспечения</w:t>
      </w:r>
    </w:p>
    <w:p>
      <w:pPr>
        <w:keepLines/>
      </w:pPr>
    </w:p>
    <w:p>
      <w:pPr>
        <w:keepLines/>
      </w:pPr>
    </w:p>
    <w:p>
      <w:pPr>
        <w:keepLines/>
        <w:jc w:val="center"/>
      </w:pPr>
      <w:r>
        <w:rPr>
          <w:b w:val="0"/>
        </w:rPr>
        <w:t>ОТЧЁТ</w:t>
      </w:r>
    </w:p>
    <w:p>
      <w:pPr>
        <w:keepLines/>
        <w:jc w:val="center"/>
      </w:pPr>
      <w:r>
        <w:rPr>
          <w:b w:val="0"/>
        </w:rPr>
        <w:t>по лабораторной работе</w:t>
      </w:r>
    </w:p>
    <w:p>
      <w:pPr>
        <w:keepLines/>
        <w:jc w:val="center"/>
      </w:pPr>
      <w:r>
        <w:rPr>
          <w:b w:val="0"/>
        </w:rPr>
        <w:t>на тему</w:t>
      </w:r>
    </w:p>
    <w:p>
      <w:pPr>
        <w:keepLines/>
      </w:pPr>
    </w:p>
    <w:p>
      <w:pPr>
        <w:keepLines/>
        <w:jc w:val="center"/>
      </w:pPr>
      <w:r>
        <w:rPr>
          <w:b/>
        </w:rPr>
        <w:t>РАЗРАБОТКА ТЕСТ-КЕЙСОВ</w:t>
      </w:r>
    </w:p>
    <w:p>
      <w:pPr>
        <w:keepLines/>
      </w:pPr>
    </w:p>
    <w:p>
      <w:pPr>
        <w:keepLines/>
      </w:pPr>
    </w:p>
    <w:p>
      <w:pPr>
        <w:keepLines/>
      </w:pPr>
    </w:p>
    <w:p>
      <w:pPr>
        <w:keepLines/>
      </w:pPr>
    </w:p>
    <w:p>
      <w:pPr>
        <w:keepLines/>
        <w:tabs>
          <w:tab w:pos="9354" w:val="right"/>
        </w:tabs>
      </w:pPr>
      <w:r>
        <w:t>Студент:</w:t>
        <w:tab/>
        <w:t>&lt;И.О. Фамилия студента&gt;</w:t>
      </w:r>
    </w:p>
    <w:p>
      <w:pPr>
        <w:keepLines/>
      </w:pPr>
    </w:p>
    <w:p>
      <w:pPr>
        <w:keepLines/>
      </w:pPr>
    </w:p>
    <w:p>
      <w:pPr>
        <w:keepLines/>
        <w:tabs>
          <w:tab w:pos="9354" w:val="right"/>
        </w:tabs>
      </w:pPr>
      <w:r>
        <w:t>Руководитель:</w:t>
        <w:tab/>
        <w:t>&lt;И.О. Фамилия руководителя&gt;</w:t>
      </w:r>
    </w:p>
    <w:p>
      <w:pPr>
        <w:keepLines/>
      </w:pPr>
    </w:p>
    <w:p>
      <w:pPr>
        <w:keepLines/>
      </w:pPr>
    </w:p>
    <w:p>
      <w:pPr>
        <w:keepLines/>
      </w:pPr>
    </w:p>
    <w:p>
      <w:pPr>
        <w:keepLines/>
      </w:pPr>
    </w:p>
    <w:p>
      <w:pPr>
        <w:keepLines/>
      </w:pPr>
    </w:p>
    <w:p>
      <w:pPr>
        <w:keepLines/>
      </w:pPr>
    </w:p>
    <w:p>
      <w:pPr>
        <w:keepLines/>
      </w:pPr>
    </w:p>
    <w:p>
      <w:pPr>
        <w:keepLines/>
      </w:pPr>
    </w:p>
    <w:p>
      <w:pPr>
        <w:keepLines/>
        <w:jc w:val="center"/>
      </w:pPr>
      <w:r>
        <w:rPr>
          <w:b w:val="0"/>
        </w:rPr>
        <w:t>Минск 2026</w:t>
      </w:r>
    </w:p>
    <w:p>
      <w:r>
        <w:br w:type="page"/>
      </w:r>
    </w:p>
    <w:p>
      <w:pPr>
        <w:pStyle w:val="Heading1"/>
        <w:ind w:firstLine="709"/>
        <w:jc w:val="left"/>
      </w:pPr>
      <w:r>
        <w:rPr>
          <w:b/>
        </w:rPr>
        <w:t>1 ЦЕЛЬ РАБОТЫ</w:t>
      </w:r>
    </w:p>
    <w:p>
      <w:pPr>
        <w:ind w:firstLine="709"/>
        <w:jc w:val="both"/>
      </w:pPr>
      <w:r>
        <w:t>Изучить структуру тест-кейса, освоить эквивалентное разбиение и анализ граничных значений, оформить и выполнить тест-кейсы для формы заявки на раннее подключение веб-приложения DSLKit.</w:t>
      </w:r>
    </w:p>
    <w:p>
      <w:r>
        <w:br w:type="page"/>
      </w:r>
    </w:p>
    <w:p>
      <w:pPr>
        <w:pStyle w:val="Heading1"/>
        <w:ind w:firstLine="709"/>
        <w:jc w:val="left"/>
      </w:pPr>
      <w:r>
        <w:rPr>
          <w:b/>
        </w:rPr>
        <w:t>2 ТЕОРЕТИЧЕСКИЕ СВЕДЕНИЯ</w:t>
      </w:r>
    </w:p>
    <w:p>
      <w:pPr>
        <w:ind w:firstLine="709"/>
        <w:jc w:val="both"/>
      </w:pPr>
      <w:r>
        <w:t>Теория дана по книге С. С. Куликова «Тестирование программного обеспечения. Базовый курс» (EPAM Systems, 2015–2025), главы 2.4 и 2.7.2.</w:t>
      </w:r>
    </w:p>
    <w:p>
      <w:pPr>
        <w:ind w:firstLine="709"/>
        <w:jc w:val="both"/>
      </w:pPr>
      <w:r>
        <w:t>Тест-кейс — набор входных данных, условий выполнения и ожидаемых результатов, разработанный для проверки определённого свойства или поведения программы. Если не указаны входные данные, условия или ожидаемый результат, либо неясна цель, тест-кейс считается плохим. Тест-кейсы обеспечивают повторяемость проверок, передачу знаний в команде, регрессионное тестирование и улучшение требований.</w:t>
      </w:r>
    </w:p>
    <w:p>
      <w:pPr>
        <w:ind w:firstLine="709"/>
        <w:jc w:val="both"/>
      </w:pPr>
      <w:r>
        <w:t>Класс эквивалентности — набор данных, обрабатываемых одинаково и дающих одинаковый результат. Граничное условие — значение на границе классов эквивалентности. Для диапазона проверяют последнее допустимое и первое недопустимое значения, а также «опасные» значения вроде нуля и пустой строки. Позитивные тест-кейсы берут из допустимых классов, негативные из недопустимых.</w:t>
      </w:r>
    </w:p>
    <w:p>
      <w:r>
        <w:br w:type="page"/>
      </w:r>
    </w:p>
    <w:p>
      <w:pPr>
        <w:pStyle w:val="Heading1"/>
        <w:ind w:firstLine="709"/>
        <w:jc w:val="left"/>
      </w:pPr>
      <w:r>
        <w:rPr>
          <w:b/>
        </w:rPr>
        <w:t>3 ХОД РАБОТЫ</w:t>
      </w:r>
    </w:p>
    <w:p>
      <w:pPr>
        <w:pStyle w:val="Heading2"/>
        <w:ind w:firstLine="709"/>
        <w:jc w:val="left"/>
      </w:pPr>
      <w:r>
        <w:rPr>
          <w:b/>
        </w:rPr>
        <w:t>3.1 Выбор use case и требования</w:t>
      </w:r>
    </w:p>
    <w:p>
      <w:pPr>
        <w:ind w:firstLine="709"/>
        <w:jc w:val="both"/>
      </w:pPr>
      <w:r>
        <w:t>Тестируется сценарий «Оставить заявку в листе ожидания» на главной странице. Проверку полей выполняет функция validateWaitlist (файл site/js/utils/validation.js), которая возвращает список неверных полей. Проект развёрнут локально командой npm start.</w:t>
      </w:r>
    </w:p>
    <w:p>
      <w:pPr>
        <w:ind w:firstLine="709"/>
        <w:jc w:val="both"/>
      </w:pPr>
      <w:r>
        <w:t>Требования к полям приведены в таблице ниже.</w:t>
      </w:r>
    </w:p>
    <w:p>
      <w:pPr>
        <w:keepNext/>
        <w:jc w:val="left"/>
      </w:pPr>
      <w:r>
        <w:t>Таблица 3.1 – Требования к полям формы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4677"/>
        <w:gridCol w:w="4677"/>
      </w:tblGrid>
      <w:tr>
        <w:tc>
          <w:tcPr>
            <w:tcW w:type="dxa" w:w="4677"/>
          </w:tcPr>
          <w:p>
            <w:pPr>
              <w:spacing w:line="240" w:lineRule="auto"/>
              <w:jc w:val="center"/>
            </w:pPr>
            <w:r/>
            <w:r>
              <w:rPr>
                <w:sz w:val="24"/>
              </w:rPr>
              <w:t>Поле</w:t>
            </w:r>
          </w:p>
        </w:tc>
        <w:tc>
          <w:tcPr>
            <w:tcW w:type="dxa" w:w="4677"/>
          </w:tcPr>
          <w:p>
            <w:pPr>
              <w:spacing w:line="240" w:lineRule="auto"/>
              <w:jc w:val="center"/>
            </w:pPr>
            <w:r/>
            <w:r>
              <w:rPr>
                <w:sz w:val="24"/>
              </w:rPr>
              <w:t>Правило</w:t>
            </w:r>
          </w:p>
        </w:tc>
      </w:tr>
      <w:tr>
        <w:tc>
          <w:tcPr>
            <w:tcW w:type="dxa" w:w="4677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name</w:t>
            </w:r>
          </w:p>
        </w:tc>
        <w:tc>
          <w:tcPr>
            <w:tcW w:type="dxa" w:w="4677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Начинается с буквы; буквы, пробел, апостроф, дефис; длина от 2 до 60</w:t>
            </w:r>
          </w:p>
        </w:tc>
      </w:tr>
      <w:tr>
        <w:tc>
          <w:tcPr>
            <w:tcW w:type="dxa" w:w="4677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email</w:t>
            </w:r>
          </w:p>
        </w:tc>
        <w:tc>
          <w:tcPr>
            <w:tcW w:type="dxa" w:w="4677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Формат адреса с доменом верхнего уровня; длина не более 120</w:t>
            </w:r>
          </w:p>
        </w:tc>
      </w:tr>
      <w:tr>
        <w:tc>
          <w:tcPr>
            <w:tcW w:type="dxa" w:w="4677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notation</w:t>
            </w:r>
          </w:p>
        </w:tc>
        <w:tc>
          <w:tcPr>
            <w:tcW w:type="dxa" w:w="4677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Одно из: idef0, dfd, erd, bpmn, uml, petri</w:t>
            </w:r>
          </w:p>
        </w:tc>
      </w:tr>
      <w:tr>
        <w:tc>
          <w:tcPr>
            <w:tcW w:type="dxa" w:w="4677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team</w:t>
            </w:r>
          </w:p>
        </w:tc>
        <w:tc>
          <w:tcPr>
            <w:tcW w:type="dxa" w:w="4677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Целое число от 0 до 500 (допустима строка из цифр)</w:t>
            </w:r>
          </w:p>
        </w:tc>
      </w:tr>
      <w:tr>
        <w:tc>
          <w:tcPr>
            <w:tcW w:type="dxa" w:w="4677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comment</w:t>
            </w:r>
          </w:p>
        </w:tc>
        <w:tc>
          <w:tcPr>
            <w:tcW w:type="dxa" w:w="4677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Не более 500 символов, необязательное</w:t>
            </w:r>
          </w:p>
        </w:tc>
      </w:tr>
      <w:tr>
        <w:tc>
          <w:tcPr>
            <w:tcW w:type="dxa" w:w="4677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consent</w:t>
            </w:r>
          </w:p>
        </w:tc>
        <w:tc>
          <w:tcPr>
            <w:tcW w:type="dxa" w:w="4677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Только true</w:t>
            </w:r>
          </w:p>
        </w:tc>
      </w:tr>
    </w:tbl>
    <w:p/>
    <w:p>
      <w:pPr>
        <w:pStyle w:val="Heading2"/>
        <w:ind w:firstLine="709"/>
        <w:jc w:val="left"/>
      </w:pPr>
      <w:r>
        <w:rPr>
          <w:b/>
        </w:rPr>
        <w:t>3.2 Классы эквивалентности и границы</w:t>
      </w:r>
    </w:p>
    <w:p>
      <w:pPr>
        <w:ind w:firstLine="709"/>
        <w:jc w:val="both"/>
      </w:pPr>
      <w:r>
        <w:t>Для каждого поля выделены допустимый и недопустимые классы; границы проверяются парами «последнее допустимое и первое недопустимое» значение (таблица ниже).</w:t>
      </w:r>
    </w:p>
    <w:p>
      <w:pPr>
        <w:keepNext/>
        <w:jc w:val="left"/>
      </w:pPr>
      <w:r>
        <w:t>Таблица 3.2 – Классы эквивалентности и граничные значения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</w:tcPr>
          <w:p>
            <w:pPr>
              <w:spacing w:line="240" w:lineRule="auto"/>
              <w:jc w:val="center"/>
            </w:pPr>
            <w:r/>
            <w:r>
              <w:rPr>
                <w:sz w:val="24"/>
              </w:rPr>
              <w:t>Поле</w:t>
            </w:r>
          </w:p>
        </w:tc>
        <w:tc>
          <w:tcPr>
            <w:tcW w:type="dxa" w:w="2339"/>
          </w:tcPr>
          <w:p>
            <w:pPr>
              <w:spacing w:line="240" w:lineRule="auto"/>
              <w:jc w:val="center"/>
            </w:pPr>
            <w:r/>
            <w:r>
              <w:rPr>
                <w:sz w:val="24"/>
              </w:rPr>
              <w:t>Допустимые</w:t>
            </w:r>
          </w:p>
        </w:tc>
        <w:tc>
          <w:tcPr>
            <w:tcW w:type="dxa" w:w="2339"/>
          </w:tcPr>
          <w:p>
            <w:pPr>
              <w:spacing w:line="240" w:lineRule="auto"/>
              <w:jc w:val="center"/>
            </w:pPr>
            <w:r/>
            <w:r>
              <w:rPr>
                <w:sz w:val="24"/>
              </w:rPr>
              <w:t>Недопустимые</w:t>
            </w:r>
          </w:p>
        </w:tc>
        <w:tc>
          <w:tcPr>
            <w:tcW w:type="dxa" w:w="2339"/>
          </w:tcPr>
          <w:p>
            <w:pPr>
              <w:spacing w:line="240" w:lineRule="auto"/>
              <w:jc w:val="center"/>
            </w:pPr>
            <w:r/>
            <w:r>
              <w:rPr>
                <w:sz w:val="24"/>
              </w:rPr>
              <w:t>Границы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name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Буквы 2–60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Цифры, 1 символ, более 60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1 / 2 / 60 / 61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email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Корректный адрес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Без @, без домена, более 120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120 / 121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team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0–500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Отрицательное, больше 500, не число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-1 / 0 / 500 / 501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notation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Из списка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Любое другое значение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—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comment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0–500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Более 500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500 / 501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consent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true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false, отсутствует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—</w:t>
            </w:r>
          </w:p>
        </w:tc>
      </w:tr>
    </w:tbl>
    <w:p/>
    <w:p>
      <w:pPr>
        <w:pStyle w:val="Heading2"/>
        <w:ind w:firstLine="709"/>
        <w:jc w:val="left"/>
      </w:pPr>
      <w:r>
        <w:rPr>
          <w:b/>
        </w:rPr>
        <w:t>3.3 Тест-кейсы и результаты</w:t>
      </w:r>
    </w:p>
    <w:p>
      <w:pPr>
        <w:ind w:firstLine="709"/>
        <w:jc w:val="both"/>
      </w:pPr>
      <w:r>
        <w:t>Разработано 22 тест-кейсов: позитивные, негативные и граничные. Идентификаторы в таблице сокращены: полный вид TC-WL-NNN. В столбце «Данные» указаны только поля, отличающиеся от базового корректного набора (name=Анна Иванова, email=anna@example.com, notation=idef0, team=5, comment пустой, consent=true). Общие предусловия: проект запущен, форма открыта, поля пусты. Постусловие: данные не сохраняются, состояние системы не меняется. Шаги общие: 1) подать набор данных на вход проверки формы; 2) получить список неверных полей. Ожидаемый результат указан в таблице.</w:t>
      </w:r>
    </w:p>
    <w:p>
      <w:pPr>
        <w:keepNext/>
        <w:jc w:val="left"/>
      </w:pPr>
      <w:r>
        <w:t>Таблица 3.3 – Тест-кейсы и результаты выполнения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</w:tcPr>
          <w:p>
            <w:pPr>
              <w:spacing w:line="240" w:lineRule="auto"/>
              <w:jc w:val="center"/>
            </w:pPr>
            <w:r/>
            <w:r>
              <w:rPr>
                <w:sz w:val="24"/>
              </w:rPr>
              <w:t>ID</w:t>
            </w:r>
          </w:p>
        </w:tc>
        <w:tc>
          <w:tcPr>
            <w:tcW w:type="dxa" w:w="1559"/>
          </w:tcPr>
          <w:p>
            <w:pPr>
              <w:spacing w:line="240" w:lineRule="auto"/>
              <w:jc w:val="center"/>
            </w:pPr>
            <w:r/>
            <w:r>
              <w:rPr>
                <w:sz w:val="24"/>
              </w:rPr>
              <w:t>Тип, приоритет</w:t>
            </w:r>
          </w:p>
        </w:tc>
        <w:tc>
          <w:tcPr>
            <w:tcW w:type="dxa" w:w="1559"/>
          </w:tcPr>
          <w:p>
            <w:pPr>
              <w:spacing w:line="240" w:lineRule="auto"/>
              <w:jc w:val="center"/>
            </w:pPr>
            <w:r/>
            <w:r>
              <w:rPr>
                <w:sz w:val="24"/>
              </w:rPr>
              <w:t>Заголовок</w:t>
            </w:r>
          </w:p>
        </w:tc>
        <w:tc>
          <w:tcPr>
            <w:tcW w:type="dxa" w:w="1559"/>
          </w:tcPr>
          <w:p>
            <w:pPr>
              <w:spacing w:line="240" w:lineRule="auto"/>
              <w:jc w:val="center"/>
            </w:pPr>
            <w:r/>
            <w:r>
              <w:rPr>
                <w:sz w:val="24"/>
              </w:rPr>
              <w:t>Данные</w:t>
            </w:r>
          </w:p>
        </w:tc>
        <w:tc>
          <w:tcPr>
            <w:tcW w:type="dxa" w:w="1559"/>
          </w:tcPr>
          <w:p>
            <w:pPr>
              <w:spacing w:line="240" w:lineRule="auto"/>
              <w:jc w:val="center"/>
            </w:pPr>
            <w:r/>
            <w:r>
              <w:rPr>
                <w:sz w:val="24"/>
              </w:rPr>
              <w:t>Ожидаемый</w:t>
            </w:r>
          </w:p>
        </w:tc>
        <w:tc>
          <w:tcPr>
            <w:tcW w:type="dxa" w:w="1559"/>
          </w:tcPr>
          <w:p>
            <w:pPr>
              <w:spacing w:line="240" w:lineRule="auto"/>
              <w:jc w:val="center"/>
            </w:pPr>
            <w:r/>
            <w:r>
              <w:rPr>
                <w:sz w:val="24"/>
              </w:rPr>
              <w:t>Фактический</w:t>
            </w:r>
          </w:p>
        </w:tc>
      </w:tr>
      <w:tr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WL-001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позитивный, High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Все поля корректны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все поля корректны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ошибок нет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ошибок нет (Passed)</w:t>
            </w:r>
          </w:p>
        </w:tc>
      </w:tr>
      <w:tr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WL-002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граничный, High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Имя из 1 символа (ниже границы 2)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name="A"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name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name (Passed)</w:t>
            </w:r>
          </w:p>
        </w:tc>
      </w:tr>
      <w:tr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WL-003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граничный, Medium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Имя из 2 символов (нижняя граница)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name="Ян"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ошибок нет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ошибок нет (Passed)</w:t>
            </w:r>
          </w:p>
        </w:tc>
      </w:tr>
      <w:tr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WL-004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граничный, Medium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Имя из 60 символов (верхняя граница)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name=aaaaa… (60)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ошибок нет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ошибок нет (Passed)</w:t>
            </w:r>
          </w:p>
        </w:tc>
      </w:tr>
      <w:tr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WL-005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граничный, Medium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Имя из 61 символа (выше границы)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name=aaaaa… (61)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name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name (Passed)</w:t>
            </w:r>
          </w:p>
        </w:tc>
      </w:tr>
      <w:tr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WL-006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негативный, High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Имя с цифрой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name="Anna1"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name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name (Passed)</w:t>
            </w:r>
          </w:p>
        </w:tc>
      </w:tr>
      <w:tr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WL-007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позитивный, Low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Имя с апострофом и дефисом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name="O'Neil-Smith"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ошибок нет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ошибок нет (Passed)</w:t>
            </w:r>
          </w:p>
        </w:tc>
      </w:tr>
      <w:tr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WL-008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негативный, High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Email без символа @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email=anna.… (16)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email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email (Passed)</w:t>
            </w:r>
          </w:p>
        </w:tc>
      </w:tr>
      <w:tr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WL-009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негативный, Medium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Email без домена верхнего уровня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email="anna@example"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email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email (Passed)</w:t>
            </w:r>
          </w:p>
        </w:tc>
      </w:tr>
      <w:tr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WL-010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граничный, Medium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Email длиной 120 символов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email=aaaaa… (120)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ошибок нет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ошибок нет (Passed)</w:t>
            </w:r>
          </w:p>
        </w:tc>
      </w:tr>
      <w:tr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WL-011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граничный, Medium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Email длиной 121 символ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email=aaaaa… (121)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email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email (Passed)</w:t>
            </w:r>
          </w:p>
        </w:tc>
      </w:tr>
      <w:tr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WL-012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граничный, High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Размер команды 0 (нижняя граница)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team=0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ошибок нет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ошибок нет (Passed)</w:t>
            </w:r>
          </w:p>
        </w:tc>
      </w:tr>
      <w:tr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WL-013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граничный, High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Размер команды 500 (верхняя граница)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team=500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ошибок нет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ошибок нет (Passed)</w:t>
            </w:r>
          </w:p>
        </w:tc>
      </w:tr>
      <w:tr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WL-014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граничный, High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Размер команды 501 (выше границы)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team=501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team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team (Passed)</w:t>
            </w:r>
          </w:p>
        </w:tc>
      </w:tr>
      <w:tr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WL-015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граничный, Medium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Размер команды -1 (ниже границы)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team=-1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team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team (Passed)</w:t>
            </w:r>
          </w:p>
        </w:tc>
      </w:tr>
      <w:tr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WL-016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негативный, Medium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Размер команды — не число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team="abc"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team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team (Passed)</w:t>
            </w:r>
          </w:p>
        </w:tc>
      </w:tr>
      <w:tr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WL-017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позитивный, Low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Размер команды строкой "12"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team="12"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ошибок нет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ошибок нет (Passed)</w:t>
            </w:r>
          </w:p>
        </w:tc>
      </w:tr>
      <w:tr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WL-018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негативный, High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Нотация вне списка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notation="xyz"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notation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notation (Passed)</w:t>
            </w:r>
          </w:p>
        </w:tc>
      </w:tr>
      <w:tr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WL-019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граничный, Low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Комментарий 500 символов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comment=xxxxx… (500)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ошибок нет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ошибок нет (Passed)</w:t>
            </w:r>
          </w:p>
        </w:tc>
      </w:tr>
      <w:tr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WL-020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граничный, Low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Комментарий 501 символ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comment=xxxxx… (501)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comment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comment (Passed)</w:t>
            </w:r>
          </w:p>
        </w:tc>
      </w:tr>
      <w:tr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WL-021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негативный, High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Согласие на обработку не дано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consent=false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consent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consent (Passed)</w:t>
            </w:r>
          </w:p>
        </w:tc>
      </w:tr>
      <w:tr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WL-022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негативный, High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Пустая форма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name=undefined; email=undefined; notation=undefined; team=undefined; comment=undefined; consent=undefined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name, email, notation, team, consent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name, email, notation, team, consent (Passed)</w:t>
            </w:r>
          </w:p>
        </w:tc>
      </w:tr>
    </w:tbl>
    <w:p/>
    <w:p>
      <w:pPr>
        <w:pStyle w:val="Heading1"/>
        <w:ind w:firstLine="709"/>
        <w:jc w:val="left"/>
      </w:pPr>
      <w:r>
        <w:rPr>
          <w:b/>
        </w:rPr>
        <w:t>4 АНАЛИЗ РЕЗУЛЬТАТОВ</w:t>
      </w:r>
    </w:p>
    <w:p>
      <w:pPr>
        <w:ind w:firstLine="709"/>
        <w:jc w:val="both"/>
      </w:pPr>
      <w:r>
        <w:t>Выполнено 22 тест-кейсов, пройдено 22, не пройдено 0. Дефектов не выявлено: проверка полей соответствует требованиям на всех границах. Попутно исправлена ошибка самих тестов на этапе отладки (неверный формат тестовых данных), к продукту она отношения не имеет.</w:t>
      </w:r>
    </w:p>
    <w:p>
      <w:r>
        <w:br w:type="page"/>
      </w:r>
    </w:p>
    <w:p>
      <w:pPr>
        <w:pStyle w:val="Heading1"/>
        <w:ind w:firstLine="709"/>
        <w:jc w:val="left"/>
      </w:pPr>
      <w:r>
        <w:rPr>
          <w:b/>
        </w:rPr>
        <w:t>5 ВЫВОД</w:t>
      </w:r>
    </w:p>
    <w:p>
      <w:pPr>
        <w:ind w:firstLine="709"/>
        <w:jc w:val="both"/>
      </w:pPr>
      <w:r>
        <w:t>Освоены оформление тест-кейсов по шаблону, эквивалентное разбиение и анализ граничных значений. Тест-кейсы автоматизированы (команда npm run tc:lab2) и повторяются без участия человека.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fldChar w:fldCharType="begin"/>
      <w:instrText xml:space="preserve">PAGE</w:instrText>
      <w:fldChar w:fldCharType="separate"/>
      <w:t>1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exact" w:line="360" w:before="0" w:after="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360" w:lineRule="exact" w:line="36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i w:val="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0" w:after="360" w:lineRule="exact" w:line="36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i w:val="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0" w:after="360" w:lineRule="exact" w:line="36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i w:val="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Listing">
    <w:name w:val="Listing"/>
    <w:basedOn w:val="Normal"/>
    <w:pPr>
      <w:spacing w:line="240" w:lineRule="auto" w:before="0" w:after="0"/>
      <w:ind w:firstLine="0" w:left="0" w:right="0"/>
      <w:jc w:val="left"/>
    </w:pPr>
    <w:rPr>
      <w:rFonts w:ascii="Times New Roman" w:hAnsi="Times New Roman" w:eastAsia="Times New Roman"/>
      <w:i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