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ТЕСТ-КЕЙСОВ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Изучить структуру тест-кейса, освоить эквивалентное разбиение и анализ граничных значений, оформить и выполнить тест-кейсы для формы заявки на раннее подключение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2.4 и 2.7.2.</w:t>
      </w:r>
    </w:p>
    <w:p>
      <w:pPr>
        <w:ind w:firstLine="709"/>
        <w:jc w:val="both"/>
      </w:pPr>
      <w:r>
        <w:t>Тест-кейс — набор входных данных, условий выполнения и ожидаемых результатов, разработанный для проверки определённого свойства или поведения программы. Если не указаны входные данные, условия или ожидаемый результат, либо неясна цель, тест-кейс считается плохим. Тест-кейсы обеспечивают повторяемость проверок, передачу знаний в команде, регрессионное тестирование и улучшение требований.</w:t>
      </w:r>
    </w:p>
    <w:p>
      <w:pPr>
        <w:ind w:firstLine="709"/>
        <w:jc w:val="both"/>
      </w:pPr>
      <w:r>
        <w:t>Класс эквивалентности — набор данных, обрабатываемых одинаково и дающих одинаковый результат. Граничное условие — значение на границе классов эквивалентности. Для диапазона проверяют последнее допустимое и первое недопустимое значения, а также «опасные» значения вроде нуля и пустой строки. Позитивные тест-кейсы берут из допустимых классов, негативные из недопустимых.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Выбор use case и требования</w:t>
      </w:r>
    </w:p>
    <w:p>
      <w:pPr>
        <w:ind w:firstLine="709"/>
        <w:jc w:val="both"/>
      </w:pPr>
      <w:r>
        <w:t>Тестируется вариант использования UC-01, описанный ниже. Проверку полей выполняет функция validateWaitlist (файл site/js/utils/validation.js), которая возвращает список неверных полей. Проект развёрнут локально командой npm start.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</w:t>
      </w:r>
      <w:r>
        <w:t>* Подать заявку в лист ожидания.</w:t>
      </w:r>
    </w:p>
    <w:p>
      <w:pPr>
        <w:ind w:firstLine="709"/>
        <w:jc w:val="both"/>
      </w:pPr>
      <w:r>
        <w:t>*</w:t>
      </w:r>
      <w:r>
        <w:rPr>
          <w:i/>
        </w:rPr>
        <w:t>Система и модуль.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Система:</w:t>
      </w:r>
      <w:r>
        <w:rPr>
          <w:i/>
        </w:rPr>
        <w:t xml:space="preserve"> </w:t>
      </w:r>
      <w:r>
        <w:t>DSLKit</w:t>
      </w:r>
      <w:r>
        <w:rPr>
          <w:i/>
        </w:rPr>
        <w:t xml:space="preserve"> — редактор диаграмм как кода (статический сайт, </w:t>
      </w:r>
      <w:r>
        <w:t>site/*);</w:t>
      </w:r>
    </w:p>
    <w:p>
      <w:pPr>
        <w:ind w:firstLine="709"/>
        <w:jc w:val="both"/>
      </w:pPr>
      <w:r>
        <w:t>– *</w:t>
      </w:r>
      <w:r>
        <w:rPr>
          <w:i/>
        </w:rPr>
        <w:t>Модуль:</w:t>
      </w:r>
      <w:r>
        <w:t>* «Лист ожидания беты» — форма на главной странице;</w:t>
      </w:r>
    </w:p>
    <w:p>
      <w:pPr>
        <w:ind w:firstLine="709"/>
        <w:jc w:val="both"/>
      </w:pPr>
      <w:r>
        <w:t>– *</w:t>
      </w:r>
      <w:r>
        <w:rPr>
          <w:i/>
        </w:rPr>
        <w:t>Ссылка:</w:t>
      </w:r>
      <w:r>
        <w:t>* http://localhost:5173/#waitlist.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(без регистрации и авторизации).</w:t>
      </w:r>
    </w:p>
    <w:p>
      <w:pPr>
        <w:ind w:firstLine="709"/>
        <w:jc w:val="both"/>
      </w:pPr>
      <w:r>
        <w:t>*</w:t>
      </w:r>
      <w:r>
        <w:rPr>
          <w:i/>
        </w:rPr>
        <w:t>Цель.</w:t>
      </w:r>
      <w:r>
        <w:t>*</w:t>
      </w:r>
    </w:p>
    <w:p>
      <w:pPr>
        <w:ind w:firstLine="709"/>
        <w:jc w:val="both"/>
      </w:pPr>
      <w:r>
        <w:t>– Оставить контакты, чтобы получить приглашение в бету DSLKit.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 (</w:t>
      </w:r>
      <w:r>
        <w:rPr>
          <w:i/>
        </w:rPr>
        <w:t>/</w:t>
      </w:r>
      <w:r>
        <w:t xml:space="preserve"> или </w:t>
      </w:r>
      <w:r>
        <w:rPr>
          <w:i/>
        </w:rPr>
        <w:t>/en/</w:t>
      </w:r>
      <w:r>
        <w:t>);</w:t>
      </w:r>
    </w:p>
    <w:p>
      <w:pPr>
        <w:ind w:firstLine="709"/>
        <w:jc w:val="both"/>
      </w:pPr>
      <w:r>
        <w:t>– 2. Форма пуста: нотация не выбрана, размер команды 0, согласие не отмечено.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поток.</w:t>
      </w:r>
      <w:r>
        <w:t>*</w:t>
      </w:r>
    </w:p>
    <w:p>
      <w:pPr>
        <w:ind w:firstLine="709"/>
        <w:jc w:val="both"/>
      </w:pPr>
      <w:r>
        <w:t>– 1. Посетитель нажимает *</w:t>
      </w:r>
      <w:r>
        <w:rPr>
          <w:i/>
        </w:rPr>
        <w:t>«В бету»</w:t>
      </w:r>
      <w:r>
        <w:rPr>
          <w:i/>
        </w:rPr>
        <w:t xml:space="preserve"> в шапке (или </w:t>
      </w:r>
      <w:r>
        <w:rPr>
          <w:i/>
        </w:rPr>
        <w:t>«Записаться в бету»</w:t>
      </w:r>
      <w:r>
        <w:rPr>
          <w:i/>
        </w:rPr>
        <w:t xml:space="preserve">) и попадает к форме </w:t>
      </w:r>
      <w:r>
        <w:t>#waitlist*;</w:t>
      </w:r>
    </w:p>
    <w:p>
      <w:pPr>
        <w:ind w:firstLine="709"/>
        <w:jc w:val="both"/>
      </w:pPr>
      <w:r>
        <w:t>– 2. Вводит *</w:t>
      </w:r>
      <w:r>
        <w:rPr>
          <w:i/>
        </w:rPr>
        <w:t>«Имя\</w:t>
      </w:r>
      <w:r>
        <w:t>»*</w:t>
      </w:r>
      <w:r>
        <w:rPr>
          <w:i/>
        </w:rPr>
        <w:t xml:space="preserve"> и </w:t>
      </w:r>
      <w:r>
        <w:rPr>
          <w:i/>
        </w:rPr>
        <w:t>«Электронная почта\</w:t>
      </w:r>
      <w:r>
        <w:t>»**;</w:t>
      </w:r>
    </w:p>
    <w:p>
      <w:pPr>
        <w:ind w:firstLine="709"/>
        <w:jc w:val="both"/>
      </w:pPr>
      <w:r>
        <w:t>– 3. Выбирает *</w:t>
      </w:r>
      <w:r>
        <w:rPr>
          <w:i/>
        </w:rPr>
        <w:t>«Нотация\</w:t>
      </w:r>
      <w:r>
        <w:t>»** (IDEF0, DFD, ERD, BPMN, UML, «Сети Петри»);</w:t>
      </w:r>
    </w:p>
    <w:p>
      <w:pPr>
        <w:ind w:firstLine="709"/>
        <w:jc w:val="both"/>
      </w:pPr>
      <w:r>
        <w:t>– 4. Вводит *</w:t>
      </w:r>
      <w:r>
        <w:rPr>
          <w:i/>
        </w:rPr>
        <w:t>«Размер команды\</w:t>
      </w:r>
      <w:r>
        <w:t>»*</w:t>
      </w:r>
      <w:r>
        <w:rPr>
          <w:i/>
        </w:rPr>
        <w:t xml:space="preserve"> (0–500) и при желании </w:t>
      </w:r>
      <w:r>
        <w:rPr>
          <w:i/>
        </w:rPr>
        <w:t>«Комментарий»</w:t>
      </w:r>
      <w:r>
        <w:t>*;</w:t>
      </w:r>
    </w:p>
    <w:p>
      <w:pPr>
        <w:ind w:firstLine="709"/>
        <w:jc w:val="both"/>
      </w:pPr>
      <w:r>
        <w:t>– 5. Отмечает согласие\</w:t>
      </w:r>
      <w:r>
        <w:rPr>
          <w:i/>
        </w:rPr>
        <w:t xml:space="preserve"> и нажимает </w:t>
      </w:r>
      <w:r>
        <w:rPr>
          <w:i/>
        </w:rPr>
        <w:t>«Отправить»</w:t>
      </w:r>
      <w:r>
        <w:t>*;</w:t>
      </w:r>
    </w:p>
    <w:p>
      <w:pPr>
        <w:ind w:firstLine="709"/>
        <w:jc w:val="both"/>
      </w:pPr>
      <w:r>
        <w:t>– 6. Система проверяет поля по таблице «Структура данных» (</w:t>
      </w:r>
      <w:r>
        <w:rPr>
          <w:i/>
        </w:rPr>
        <w:t>validateWaitlist</w:t>
      </w:r>
      <w:r>
        <w:t>);</w:t>
      </w:r>
    </w:p>
    <w:p>
      <w:pPr>
        <w:ind w:firstLine="709"/>
        <w:jc w:val="both"/>
      </w:pPr>
      <w:r>
        <w:t xml:space="preserve">– 7. Система сохраняет заявку в </w:t>
      </w:r>
      <w:r>
        <w:rPr>
          <w:i/>
        </w:rPr>
        <w:t>LocalStorage</w:t>
      </w:r>
      <w:r>
        <w:t xml:space="preserve"> (ключ </w:t>
      </w:r>
      <w:r>
        <w:rPr>
          <w:i/>
        </w:rPr>
        <w:t>dslkit.waitlist</w:t>
      </w:r>
      <w:r>
        <w:t>);</w:t>
      </w:r>
    </w:p>
    <w:p>
      <w:pPr>
        <w:ind w:firstLine="709"/>
        <w:jc w:val="both"/>
      </w:pPr>
      <w:r>
        <w:t xml:space="preserve">– 8. Система открывает страницу благодарности </w:t>
      </w:r>
      <w:r>
        <w:rPr>
          <w:i/>
        </w:rPr>
        <w:t>thanks.html</w:t>
      </w:r>
      <w:r>
        <w:t>;</w:t>
      </w:r>
    </w:p>
    <w:p>
      <w:pPr>
        <w:ind w:firstLine="709"/>
        <w:jc w:val="both"/>
      </w:pPr>
      <w:r>
        <w:t>– \* — обязательное поле.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A1.</w:t>
      </w:r>
      <w:r>
        <w:t>* Поле неверно (шаг 6): под полем красное сообщение, фокус на первом неверном поле, заявка не сохраняется; после исправления сообщение исчезает;</w:t>
      </w:r>
    </w:p>
    <w:p>
      <w:pPr>
        <w:ind w:firstLine="709"/>
        <w:jc w:val="both"/>
      </w:pPr>
      <w:r>
        <w:t>– *</w:t>
      </w:r>
      <w:r>
        <w:rPr>
          <w:i/>
        </w:rPr>
        <w:t>A2.</w:t>
      </w:r>
      <w:r>
        <w:t>* Повторная заявка с той же почтой: принимается как новая запись (дефект D-1);</w:t>
      </w:r>
    </w:p>
    <w:p>
      <w:pPr>
        <w:ind w:firstLine="709"/>
        <w:jc w:val="both"/>
      </w:pPr>
      <w:r>
        <w:t>– *</w:t>
      </w:r>
      <w:r>
        <w:rPr>
          <w:i/>
        </w:rPr>
        <w:t>A3.</w:t>
      </w:r>
      <w:r>
        <w:t>* Посетитель закрыл страницу до шага 5: данные не сохраняются.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 xml:space="preserve">– Успех: в </w:t>
      </w:r>
      <w:r>
        <w:rPr>
          <w:i/>
        </w:rPr>
        <w:t>LocalStorage</w:t>
      </w:r>
      <w:r>
        <w:t xml:space="preserve"> на одну запись больше, открыта </w:t>
      </w:r>
      <w:r>
        <w:rPr>
          <w:i/>
        </w:rPr>
        <w:t>thanks.html</w:t>
      </w:r>
      <w:r>
        <w:t>. Ошибка проверки: записей не добавилось,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E1.</w:t>
      </w:r>
      <w:r>
        <w:rPr>
          <w:i/>
        </w:rPr>
        <w:t xml:space="preserve"> Запись в </w:t>
      </w:r>
      <w:r>
        <w:t>LocalStorage</w:t>
      </w:r>
      <w:r>
        <w:rPr>
          <w:i/>
        </w:rPr>
        <w:t xml:space="preserve"> не удалась: страница благодарности всё равно открывается, </w:t>
      </w:r>
      <w:r>
        <w:rPr>
          <w:i/>
        </w:rPr>
        <w:t>заявка потеряна</w:t>
      </w:r>
      <w:r>
        <w:t>*, ошибки нет (дефект D-2).</w:t>
      </w:r>
    </w:p>
    <w:p>
      <w:pPr>
        <w:ind w:firstLine="709"/>
        <w:jc w:val="both"/>
      </w:pPr>
      <w:r>
        <w:t>*</w:t>
      </w:r>
      <w:r>
        <w:rPr>
          <w:i/>
        </w:rPr>
        <w:t>Другие точки входа.</w:t>
      </w:r>
      <w:r>
        <w:t>*</w:t>
      </w:r>
    </w:p>
    <w:p>
      <w:pPr>
        <w:ind w:firstLine="709"/>
        <w:jc w:val="both"/>
      </w:pPr>
      <w:r>
        <w:t xml:space="preserve">– Ссылки «Записаться в бету: UML / BPMN / …» в разделе нотаций, кнопка «В бету» на </w:t>
      </w:r>
      <w:r>
        <w:rPr>
          <w:i/>
        </w:rPr>
        <w:t>privacy.html</w:t>
      </w:r>
      <w:r>
        <w:t xml:space="preserve"> и </w:t>
      </w:r>
      <w:r>
        <w:rPr>
          <w:i/>
        </w:rPr>
        <w:t>thanks.html</w:t>
      </w:r>
      <w:r>
        <w:t xml:space="preserve">, адрес </w:t>
      </w:r>
      <w:r>
        <w:rPr>
          <w:i/>
        </w:rPr>
        <w:t>/en/#waitlist</w:t>
      </w:r>
      <w:r>
        <w:t>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R4</w:t>
      </w:r>
      <w:r>
        <w:t>* — Форма заявки и валидация;</w:t>
      </w:r>
    </w:p>
    <w:p>
      <w:pPr>
        <w:ind w:firstLine="709"/>
        <w:jc w:val="both"/>
      </w:pPr>
      <w:r>
        <w:t>– *</w:t>
      </w:r>
      <w:r>
        <w:rPr>
          <w:i/>
        </w:rPr>
        <w:t>UC-00</w:t>
      </w:r>
      <w:r>
        <w:t>* — Прочитать политику конфиденциальности;</w:t>
      </w:r>
    </w:p>
    <w:p>
      <w:pPr>
        <w:ind w:firstLine="709"/>
        <w:jc w:val="both"/>
      </w:pPr>
      <w:r>
        <w:t>– *</w:t>
      </w:r>
      <w:r>
        <w:rPr>
          <w:i/>
        </w:rPr>
        <w:t>UC-03</w:t>
      </w:r>
      <w:r>
        <w:t>* — Авторизация (в текущей версии не реализована);</w:t>
      </w:r>
    </w:p>
    <w:p>
      <w:pPr>
        <w:ind w:firstLine="709"/>
        <w:jc w:val="both"/>
      </w:pPr>
      <w:r>
        <w:t>– *</w:t>
      </w:r>
      <w:r>
        <w:rPr>
          <w:i/>
        </w:rPr>
        <w:t>UC-04</w:t>
      </w:r>
      <w:r>
        <w:t>* — Запись в бету из React-приложения;</w:t>
      </w:r>
    </w:p>
    <w:p>
      <w:pPr>
        <w:ind w:firstLine="709"/>
        <w:jc w:val="both"/>
      </w:pPr>
      <w:r>
        <w:t>– *</w:t>
      </w:r>
      <w:r>
        <w:rPr>
          <w:i/>
        </w:rPr>
        <w:t>TC-WL-001…022</w:t>
      </w:r>
      <w:r>
        <w:t>* — Тест-кейсы формы (лаб. 2);</w:t>
      </w:r>
    </w:p>
    <w:p>
      <w:pPr>
        <w:ind w:firstLine="709"/>
        <w:jc w:val="both"/>
      </w:pPr>
      <w:r>
        <w:t>– *</w:t>
      </w:r>
      <w:r>
        <w:rPr>
          <w:i/>
        </w:rPr>
        <w:t>SM-07, CP-35, CP-36</w:t>
      </w:r>
      <w:r>
        <w:t>* — Проверки чек-листов (лаб. 3).</w:t>
      </w:r>
    </w:p>
    <w:p>
      <w:pPr>
        <w:ind w:firstLine="709"/>
        <w:jc w:val="both"/>
      </w:pPr>
      <w:r>
        <w:t>*</w:t>
      </w:r>
      <w:r>
        <w:rPr>
          <w:i/>
        </w:rPr>
        <w:t>Скриншоты.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SCR-01</w:t>
      </w:r>
      <w:r>
        <w:t>* — Форма: ошибки при пустой отправке;</w:t>
      </w:r>
    </w:p>
    <w:p>
      <w:pPr>
        <w:ind w:firstLine="709"/>
        <w:jc w:val="both"/>
      </w:pPr>
      <w:r>
        <w:t>– *</w:t>
      </w:r>
      <w:r>
        <w:rPr>
          <w:i/>
        </w:rPr>
        <w:t>SCR-02</w:t>
      </w:r>
      <w:r>
        <w:t>* — Форма: заполнена;</w:t>
      </w:r>
    </w:p>
    <w:p>
      <w:pPr>
        <w:ind w:firstLine="709"/>
        <w:jc w:val="both"/>
      </w:pPr>
      <w:r>
        <w:t>– *</w:t>
      </w:r>
      <w:r>
        <w:rPr>
          <w:i/>
        </w:rPr>
        <w:t>SCR-03</w:t>
      </w:r>
      <w:r>
        <w:t>* —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 xml:space="preserve">– </w:t>
      </w:r>
      <w:r>
        <w:rPr>
          <w:i/>
        </w:rPr>
        <w:t>site/index.html</w:t>
      </w:r>
      <w:r>
        <w:t xml:space="preserve"> (форма </w:t>
      </w:r>
      <w:r>
        <w:rPr>
          <w:i/>
        </w:rPr>
        <w:t>#waitlist-form</w:t>
      </w:r>
      <w:r>
        <w:t xml:space="preserve">), </w:t>
      </w:r>
      <w:r>
        <w:rPr>
          <w:i/>
        </w:rPr>
        <w:t>site/js/components/waitlist-form.js</w:t>
      </w:r>
      <w:r>
        <w:t xml:space="preserve">, </w:t>
      </w:r>
      <w:r>
        <w:rPr>
          <w:i/>
        </w:rPr>
        <w:t>site/js/utils/validation.js</w:t>
      </w:r>
      <w:r>
        <w:t xml:space="preserve">, </w:t>
      </w:r>
      <w:r>
        <w:rPr>
          <w:i/>
        </w:rPr>
        <w:t>site/js/utils/storage.js</w:t>
      </w:r>
      <w:r>
        <w:t xml:space="preserve">, </w:t>
      </w:r>
      <w:r>
        <w:rPr>
          <w:i/>
        </w:rPr>
        <w:t>site/thanks.html</w:t>
      </w:r>
      <w:r>
        <w:t>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– http://localhost:5173/#waitlist;</w:t>
      </w:r>
    </w:p>
    <w:p>
      <w:pPr>
        <w:ind w:firstLine="709"/>
        <w:jc w:val="both"/>
      </w:pPr>
      <w:r>
        <w:t>– http://localhost:5173/thanks.html;</w:t>
      </w:r>
    </w:p>
    <w:p>
      <w:pPr>
        <w:ind w:firstLine="709"/>
        <w:jc w:val="both"/>
      </w:pPr>
      <w:r>
        <w:t>– https://github.com/KsushaKhadzhinova/DSLKit-Project.</w:t>
      </w:r>
    </w:p>
    <w:p>
      <w:pPr>
        <w:keepNext/>
        <w:jc w:val="left"/>
      </w:pPr>
      <w:r>
        <w:t>Таблица 3.1 – Структура данных заявки (сущность WaitlistEntry)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Длина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Обязат.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Уник.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Маска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Связь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name\* (П1)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2–60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буквы, пробел, апостроф, дефис; первая — буква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email\* (П2)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6–120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(дубликаты принимаются, D-1)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name@domain.zone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notation\* (П3)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3–5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idef0, dfd, erd, bpmn, uml, petri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справочник Notation, N:1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team\* (П4)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число; по умолчанию 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(П5)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маски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consent\* (П6)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только true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флажок; в запись не сохраняется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политика (privacy.html)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 ISO 8601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24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ставит система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ГГГГ-ММ-ДДTЧЧ:ММ:СС.сссZ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Хранилище: массив JSON в LocalStorage, ключ dslkit.waitlist. Первичного ключа нет. Звёздочка означает обязательное поле.</w:t>
      </w:r>
    </w:p>
    <w:p>
      <w:pPr>
        <w:pStyle w:val="Heading2"/>
        <w:ind w:firstLine="709"/>
        <w:jc w:val="left"/>
      </w:pPr>
      <w:r>
        <w:rPr>
          <w:b/>
        </w:rPr>
        <w:t>3.2 Диаграмма и скриншоты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615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1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3.1 – Блок-схема сценария UC-01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9132" cy="719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9132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3.2 – Форма: ошибки при пустой отправке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6328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2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3.3 – Форма заполнена корректными данными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than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3.4 – Страница благодарности</w:t>
      </w:r>
    </w:p>
    <w:p/>
    <w:p>
      <w:pPr>
        <w:ind w:firstLine="709"/>
        <w:jc w:val="both"/>
      </w:pPr>
      <w:r>
        <w:t>Трассировка: правило П1 проверяют TC-WL-002…007, П2 008…011, П3 018, П4 012…017, П5 019 и 020, П6 021, поток A1 022.</w:t>
      </w:r>
    </w:p>
    <w:p>
      <w:pPr>
        <w:ind w:firstLine="709"/>
        <w:jc w:val="both"/>
      </w:pPr>
      <w:r>
        <w:t>Требования к полям приведены в таблице ниже.</w:t>
      </w:r>
    </w:p>
    <w:p>
      <w:pPr>
        <w:keepNext/>
        <w:jc w:val="left"/>
      </w:pPr>
      <w:r>
        <w:t>Таблица 3.2 – Требования к полям формы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Правило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Начинается с буквы; буквы, пробел, апостроф, дефис; длина от 2 до 60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Формат адреса с доменом верхнего уровня; длина не более 120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Одно из: idef0, dfd, erd, bpmn, uml, petri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 от 0 до 500 (допустима строка из цифр)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более 500 символов, необязательное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Классы эквивалентности и границы</w:t>
      </w:r>
    </w:p>
    <w:p>
      <w:pPr>
        <w:ind w:firstLine="709"/>
        <w:jc w:val="both"/>
      </w:pPr>
      <w:r>
        <w:t>Для каждого поля выделены допустимый и недопустимые классы; границы проверяются парами «последнее допустимое и первое недопустимое» значение (таблица ниже).</w:t>
      </w:r>
    </w:p>
    <w:p>
      <w:pPr>
        <w:keepNext/>
        <w:jc w:val="left"/>
      </w:pPr>
      <w:r>
        <w:t>Таблица 3.3 – Классы эквивалентности и граничные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Границы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 2–60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Цифры, 1 символ, более 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 / 2 / 60 / 61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Корректный адрес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@, без домена, более 120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120 / 121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Отрицательное, больше 500, не число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-1 / 0 / 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Из списка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Любое другое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Более 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false, отсутствует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Тест-кейсы и результаты</w:t>
      </w:r>
    </w:p>
    <w:p>
      <w:pPr>
        <w:ind w:firstLine="709"/>
        <w:jc w:val="both"/>
      </w:pPr>
      <w:r>
        <w:t>Разработано 22 тест-кейсов: позитивные, негативные и граничные. Идентификаторы в таблице сокращены: полный вид TC-WL-NNN. В столбце «Данные» указаны только поля, отличающиеся от базового корректного набора (name=Анна Иванова, email=anna@example.com, notation=idef0, team=5, comment пустой, consent=true). Общие предусловия: проект запущен, форма открыта, поля пусты. Постусловие: данные не сохраняются, состояние системы не меняется. Шаги общие: 1) подать набор данных на вход проверки формы; 2) получить список неверных полей. Ожидаемый результат указан в таблице.</w:t>
      </w:r>
    </w:p>
    <w:p>
      <w:pPr>
        <w:keepNext/>
        <w:jc w:val="left"/>
      </w:pPr>
      <w:r>
        <w:t>Таблица 3.4 – Тест-кейсы и результаты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приоритет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Заголовок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Данные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Ожидаемый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Фактический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name="Ян"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цифрой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name="Anna1"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name="O'Neil-Smith"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символа @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email=anna.… (16)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email="anna@example"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team=-1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team="abc"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notation="xyz"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consent=false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Пустая форма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name=undefined; email=undefined; notation=undefined; team=undefined; comment=undefined; consent=undefined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 (Passed)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АНАЛИЗ РЕЗУЛЬТАТОВ</w:t>
      </w:r>
    </w:p>
    <w:p>
      <w:pPr>
        <w:ind w:firstLine="709"/>
        <w:jc w:val="both"/>
      </w:pPr>
      <w:r>
        <w:t>Выполнено 22 тест-кейсов, пройдено 22, не пройдено 0. Дефектов не выявлено: проверка полей соответствует требованиям на всех границах. Попутно исправлена ошибка самих тестов на этапе отладки (неверный формат тестовых данных), к продукту она отношения не имеет.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Освоены оформление тест-кейсов по шаблону, эквивалентное разбиение и анализ граничных значений. Тест-кейсы автоматизированы (команда npm run tc:lab2) и повторяются без участия человека.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