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№1 «Тестирование требований к ПО». В документе описан вариант использования (Use Case) «Подать заявку в лист ожидания» проекта DSLKit со ссылками на подзадачи, связанные задачи и тест-кейсы, выполнено его тестирование методом просмотра по критериям качества требований, составлены решения по уточняющим вопросам, а затем сценарий проверен на работающем приложении. Теория взята из методических указаний к работе.</w:t>
      </w:r>
    </w:p>
    <w:p>
      <w:pPr>
        <w:pStyle w:val="Heading1"/>
      </w:pPr>
      <w:r>
        <w:t>1. Этап 1. Описание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</w:t>
            </w:r>
            <w:r>
              <w:rPr>
                <w:sz w:val="24"/>
              </w:rPr>
              <w:t xml:space="preserve"> Подать заявку в лист ожидания (форма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Система: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DSLKit</w:t>
            </w:r>
            <w:r>
              <w:rPr>
                <w:sz w:val="24"/>
              </w:rPr>
              <w:t xml:space="preserve"> — веб-приложение «Редактор диаграмм как кода: слева текст, справа диаграмма», статический сайт без серверной части (каталог </w:t>
            </w:r>
            <w:r>
              <w:rPr>
                <w:i/>
                <w:sz w:val="24"/>
              </w:rPr>
              <w:t>site/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Модуль:</w:t>
            </w:r>
            <w:r>
              <w:rPr>
                <w:sz w:val="24"/>
              </w:rPr>
              <w:t xml:space="preserve"> «Лист ожидания беты» — форма заявки на главной странице (раздел «Записаться в бету»).</w:t>
            </w:r>
            <w:r>
              <w:br/>
            </w:r>
            <w:r>
              <w:rPr>
                <w:b/>
                <w:sz w:val="24"/>
              </w:rPr>
              <w:t>Ссылка на модуль:</w:t>
            </w:r>
            <w:r>
              <w:rPr>
                <w:sz w:val="24"/>
              </w:rPr>
              <w:t xml:space="preserve"> http://localhost:5173/#waitlist (запуск: </w:t>
            </w:r>
            <w:r>
              <w:rPr>
                <w:i/>
                <w:sz w:val="24"/>
              </w:rPr>
              <w:t>npm start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Ссылка на исходный код:</w:t>
            </w:r>
            <w:r>
              <w:rPr>
                <w:sz w:val="24"/>
              </w:rPr>
              <w:t xml:space="preserve"> https://github.com/KsushaKhadzhinova/DSLKit-Project, файлы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 (форма </w:t>
            </w:r>
            <w:r>
              <w:rPr>
                <w:i/>
                <w:sz w:val="24"/>
              </w:rPr>
              <w:t>#waitlist-form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Точки входа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Кнопка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в шапке, кнопка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на первом экране и ссылки </w:t>
            </w:r>
            <w:r>
              <w:rPr>
                <w:b/>
                <w:sz w:val="24"/>
              </w:rPr>
              <w:t>«Записаться в бету: UML»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«Записаться в бету: BPMN»</w:t>
            </w:r>
            <w:r>
              <w:rPr>
                <w:sz w:val="24"/>
              </w:rPr>
              <w:t xml:space="preserve"> и т. п. на карточках нотаций. Все ведут к якорю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</w:r>
            <w:r>
              <w:br/>
            </w:r>
            <w:r>
              <w:rPr>
                <w:sz w:val="24"/>
              </w:rPr>
              <w:t xml:space="preserve">2. Раздел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показан, форма пуста: список </w:t>
            </w:r>
            <w:r>
              <w:rPr>
                <w:b/>
                <w:sz w:val="24"/>
              </w:rPr>
              <w:t>«Нотация»</w:t>
            </w:r>
            <w:r>
              <w:rPr>
                <w:sz w:val="24"/>
              </w:rPr>
              <w:t xml:space="preserve"> стоит на пункте </w:t>
            </w:r>
            <w:r>
              <w:rPr>
                <w:b/>
                <w:sz w:val="24"/>
              </w:rPr>
              <w:t>«Выберите нотацию»</w:t>
            </w:r>
            <w:r>
              <w:rPr>
                <w:sz w:val="24"/>
              </w:rPr>
              <w:t xml:space="preserve">, в поле </w:t>
            </w:r>
            <w:r>
              <w:rPr>
                <w:b/>
                <w:sz w:val="24"/>
              </w:rPr>
              <w:t>«Размер команды»</w:t>
            </w:r>
            <w:r>
              <w:rPr>
                <w:sz w:val="24"/>
              </w:rPr>
              <w:t xml:space="preserve"> значение 0, флажок согласия снят.</w:t>
            </w:r>
            <w:r>
              <w:br/>
            </w:r>
            <w:r>
              <w:rPr>
                <w:sz w:val="24"/>
              </w:rPr>
              <w:t xml:space="preserve">3. Скрипт </w:t>
            </w:r>
            <w:r>
              <w:rPr>
                <w:i/>
                <w:sz w:val="24"/>
              </w:rPr>
              <w:t>site/js/script.js</w:t>
            </w:r>
            <w:r>
              <w:rPr>
                <w:sz w:val="24"/>
              </w:rPr>
              <w:t xml:space="preserve">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1. Посетитель нажимает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(или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); страница прокручивается к разделу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2. Посетитель вводит имя в поле </w:t>
            </w:r>
            <w:r>
              <w:rPr>
                <w:b/>
                <w:sz w:val="24"/>
              </w:rPr>
              <w:t>«Имя»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«От 2 до 60 букв. Допустимы пробел, дефис и апостроф.»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3. Посетитель вводит адрес в поле </w:t>
            </w:r>
            <w:r>
              <w:rPr>
                <w:b/>
                <w:sz w:val="24"/>
              </w:rPr>
              <w:t>«Электронная почта»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«Адрес вида name@example.com. На него придёт приглашение.»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4. Посетитель выбирает нотацию в списке: IDEF0, DFD, ERD, BPMN, UML или </w:t>
            </w:r>
            <w:r>
              <w:rPr>
                <w:b/>
                <w:sz w:val="24"/>
              </w:rPr>
              <w:t>«Сети Петри»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5. Посетитель вводит целое число в поле </w:t>
            </w:r>
            <w:r>
              <w:rPr>
                <w:b/>
                <w:sz w:val="24"/>
              </w:rPr>
              <w:t>«Размер команды»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«Целое число от 0 до 500. Укажите 0, если работаете один.»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6. Посетитель при желании вводит текст в поле </w:t>
            </w:r>
            <w:r>
              <w:rPr>
                <w:b/>
                <w:sz w:val="24"/>
              </w:rPr>
              <w:t>«Комментарий (по желанию)»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7. Посетитель отмечает флажок </w:t>
            </w:r>
            <w:r>
              <w:rPr>
                <w:b/>
                <w:sz w:val="24"/>
              </w:rPr>
              <w:t>«Согласен получать письма о запуске беты и с политикой конфиденциальности»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8. Посетитель нажимает кнопку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9. Система считывает шесть полей и проверяет каждое по правилам П1–П6 (функция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по ключу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и пишет в консоль </w:t>
            </w:r>
            <w:r>
              <w:rPr>
                <w:b/>
                <w:sz w:val="24"/>
              </w:rPr>
              <w:t>«DSLKit: заявка сохранена в LocalStorage»</w:t>
            </w:r>
            <w:r>
              <w:rPr>
                <w:sz w:val="24"/>
              </w:rPr>
              <w:t xml:space="preserve"> с названием нотации.</w:t>
            </w:r>
            <w:r>
              <w:br/>
            </w:r>
            <w:r>
              <w:rPr>
                <w:sz w:val="24"/>
              </w:rPr>
              <w:t xml:space="preserve">11. Система открывает страницу благодарности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(для английской версии 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) с заголовком </w:t>
            </w:r>
            <w:r>
              <w:rPr>
                <w:b/>
                <w:sz w:val="24"/>
              </w:rPr>
              <w:t>«Спасибо, вы в списке беты»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П1</w:t>
            </w:r>
            <w:r>
              <w:rPr>
                <w:sz w:val="24"/>
              </w:rPr>
              <w:t>. Имя (</w:t>
            </w:r>
            <w:r>
              <w:rPr>
                <w:i/>
                <w:sz w:val="24"/>
              </w:rPr>
              <w:t>#name</w:t>
            </w:r>
            <w:r>
              <w:rPr>
                <w:sz w:val="24"/>
              </w:rPr>
              <w:t>): 2–60 символов после обрезки пробелов, первый символ буква, далее буквы, пробел, апостроф, дефис. В разметке: minlength=2, maxlength=60.</w:t>
            </w:r>
            <w:r>
              <w:br/>
            </w:r>
            <w:r>
              <w:rPr>
                <w:b/>
                <w:sz w:val="24"/>
              </w:rPr>
              <w:t>П2</w:t>
            </w:r>
            <w:r>
              <w:rPr>
                <w:sz w:val="24"/>
              </w:rPr>
              <w:t>. Почта (</w:t>
            </w:r>
            <w:r>
              <w:rPr>
                <w:i/>
                <w:sz w:val="24"/>
              </w:rPr>
              <w:t>#email</w:t>
            </w:r>
            <w:r>
              <w:rPr>
                <w:sz w:val="24"/>
              </w:rPr>
              <w:t>): вид name@domain.zone без пробелов, зона не короче двух символов, не более 120 символов после обрезки. В разметке: type=email, maxlength=120.</w:t>
            </w:r>
            <w:r>
              <w:br/>
            </w:r>
            <w:r>
              <w:rPr>
                <w:b/>
                <w:sz w:val="24"/>
              </w:rPr>
              <w:t>П3</w:t>
            </w:r>
            <w:r>
              <w:rPr>
                <w:sz w:val="24"/>
              </w:rPr>
              <w:t>. Нотация (</w:t>
            </w:r>
            <w:r>
              <w:rPr>
                <w:i/>
                <w:sz w:val="24"/>
              </w:rPr>
              <w:t>#notation</w:t>
            </w:r>
            <w:r>
              <w:rPr>
                <w:sz w:val="24"/>
              </w:rPr>
              <w:t xml:space="preserve">): idef0, dfd, erd, bpmn, uml или petri; пункт </w:t>
            </w:r>
            <w:r>
              <w:rPr>
                <w:b/>
                <w:sz w:val="24"/>
              </w:rPr>
              <w:t>«Выберите нотацию»</w:t>
            </w:r>
            <w:r>
              <w:rPr>
                <w:sz w:val="24"/>
              </w:rPr>
              <w:t xml:space="preserve"> недопустим.</w:t>
            </w:r>
            <w:r>
              <w:br/>
            </w:r>
            <w:r>
              <w:rPr>
                <w:b/>
                <w:sz w:val="24"/>
              </w:rPr>
              <w:t>П4</w:t>
            </w:r>
            <w:r>
              <w:rPr>
                <w:sz w:val="24"/>
              </w:rPr>
              <w:t>. Размер команды (</w:t>
            </w:r>
            <w:r>
              <w:rPr>
                <w:i/>
                <w:sz w:val="24"/>
              </w:rPr>
              <w:t>#team</w:t>
            </w:r>
            <w:r>
              <w:rPr>
                <w:sz w:val="24"/>
              </w:rPr>
              <w:t>): целое от 0 до 500; допускается строка из цифр; отрицательные, дробные и нечисловые значения недопустимы. В разметке: min=0, max=500, step=1.</w:t>
            </w:r>
            <w:r>
              <w:br/>
            </w:r>
            <w:r>
              <w:rPr>
                <w:b/>
                <w:sz w:val="24"/>
              </w:rPr>
              <w:t>П5</w:t>
            </w:r>
            <w:r>
              <w:rPr>
                <w:sz w:val="24"/>
              </w:rPr>
              <w:t>. Комментарий (</w:t>
            </w:r>
            <w:r>
              <w:rPr>
                <w:i/>
                <w:sz w:val="24"/>
              </w:rPr>
              <w:t>#comment</w:t>
            </w:r>
            <w:r>
              <w:rPr>
                <w:sz w:val="24"/>
              </w:rPr>
              <w:t>): не более 500 символов (длина считается без обрезки), поле необязательное. В разметке: maxlength=500, поэтому в браузере больше 500 символов ввести нельзя.</w:t>
            </w:r>
            <w:r>
              <w:br/>
            </w:r>
            <w:r>
              <w:rPr>
                <w:b/>
                <w:sz w:val="24"/>
              </w:rPr>
              <w:t>П6</w:t>
            </w:r>
            <w:r>
              <w:rPr>
                <w:sz w:val="24"/>
              </w:rPr>
              <w:t>. Согласие (</w:t>
            </w:r>
            <w:r>
              <w:rPr>
                <w:i/>
                <w:sz w:val="24"/>
              </w:rPr>
              <w:t>#consent</w:t>
            </w:r>
            <w:r>
              <w:rPr>
                <w:sz w:val="24"/>
              </w:rPr>
              <w:t>): флажок обязательно отмечен.</w:t>
            </w:r>
            <w:r>
              <w:br/>
            </w:r>
            <w:r>
              <w:rPr>
                <w:sz w:val="24"/>
              </w:rPr>
              <w:t>Встроенная проверка браузера отключена (form.noValidate), показываются только собственные сообщения сайта.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A1</w:t>
            </w:r>
            <w:r>
              <w:rPr>
                <w:sz w:val="24"/>
              </w:rPr>
              <w:t xml:space="preserve">. Одно или несколько полей не прошли проверку (шаг 9): под каждым неверным полем показывается красное сообщение (role=alert, например </w:t>
            </w:r>
            <w:r>
              <w:rPr>
                <w:b/>
                <w:sz w:val="24"/>
              </w:rPr>
              <w:t>«Имя не принято: поле пустое, короче двух символов или содержит цифры и знаки…»</w:t>
            </w:r>
            <w:r>
              <w:rPr>
                <w:sz w:val="24"/>
              </w:rPr>
      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      </w:r>
            <w:r>
              <w:rPr>
                <w:b/>
                <w:sz w:val="24"/>
              </w:rPr>
              <w:t>Заявка не сохраняется</w:t>
            </w:r>
            <w:r>
              <w:rPr>
                <w:sz w:val="24"/>
              </w:rPr>
              <w:t>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</w:r>
            <w:r>
              <w:br/>
            </w:r>
            <w:r>
              <w:rPr>
                <w:b/>
                <w:sz w:val="24"/>
              </w:rPr>
              <w:t>A2</w:t>
            </w:r>
            <w:r>
              <w:rPr>
                <w:sz w:val="24"/>
              </w:rPr>
              <w:t xml:space="preserve">. Согласие не отмечено (шаг 9): применяется A1; сообщение </w:t>
            </w:r>
            <w:r>
              <w:rPr>
                <w:b/>
                <w:sz w:val="24"/>
              </w:rPr>
              <w:t>«Без согласия мы не можем отправить приглашение. Поставьте галочку, чтобы продолжить.»</w:t>
            </w:r>
            <w:r>
              <w:br/>
            </w:r>
            <w:r>
              <w:rPr>
                <w:b/>
                <w:sz w:val="24"/>
              </w:rPr>
              <w:t>A3</w:t>
            </w:r>
            <w:r>
              <w:rPr>
                <w:sz w:val="24"/>
              </w:rPr>
              <w:t>. Посетитель закрывает страницу или уходит со страницы до шага 8: данные не сохраняются, состояние системы не меняется.</w:t>
            </w:r>
            <w:r>
              <w:br/>
            </w:r>
            <w:r>
              <w:rPr>
                <w:b/>
                <w:sz w:val="24"/>
              </w:rPr>
              <w:t>A4</w:t>
            </w:r>
            <w:r>
              <w:rPr>
                <w:sz w:val="24"/>
              </w:rPr>
              <w:t xml:space="preserve">. Повторная заявка с тем же адресом (шаг 10): </w:t>
            </w:r>
            <w:r>
              <w:rPr>
                <w:b/>
                <w:sz w:val="24"/>
              </w:rPr>
              <w:t>принимается как новая отдельная запись</w:t>
            </w:r>
            <w:r>
              <w:rPr>
                <w:sz w:val="24"/>
              </w:rPr>
              <w:t>, сообщения о дубликате нет (дефект D-1).</w:t>
            </w:r>
            <w:r>
              <w:br/>
            </w:r>
            <w:r>
              <w:rPr>
                <w:b/>
                <w:sz w:val="24"/>
              </w:rPr>
              <w:t>A5</w:t>
            </w:r>
            <w:r>
              <w:rPr>
                <w:sz w:val="24"/>
              </w:rPr>
              <w:t xml:space="preserve">. Повторное нажатие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 xml:space="preserve">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Успех: массив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длиннее на одну запись, открыта страница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E1</w:t>
            </w:r>
            <w:r>
              <w:rPr>
                <w:sz w:val="24"/>
              </w:rPr>
              <w:t xml:space="preserve">. Запись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 удалась (хранилище переполнено или запрещено, шаг 10): метод </w:t>
            </w:r>
            <w:r>
              <w:rPr>
                <w:i/>
                <w:sz w:val="24"/>
              </w:rPr>
              <w:t>storage.set</w:t>
            </w:r>
            <w:r>
              <w:rPr>
                <w:sz w:val="24"/>
              </w:rPr>
              <w:t xml:space="preserve"> возвращает false, но система всё равно открывает страницу благодарности; </w:t>
            </w:r>
            <w:r>
              <w:rPr>
                <w:b/>
                <w:sz w:val="24"/>
              </w:rPr>
              <w:t>сообщения об ошибке нет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заявка потеряна</w:t>
            </w:r>
            <w:r>
              <w:rPr>
                <w:sz w:val="24"/>
              </w:rPr>
              <w:t xml:space="preserve"> (дефект D-2).</w:t>
            </w:r>
            <w:r>
              <w:br/>
            </w:r>
            <w:r>
              <w:rPr>
                <w:b/>
                <w:sz w:val="24"/>
              </w:rPr>
              <w:t>E2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недоступен совсем (</w:t>
            </w:r>
            <w:r>
              <w:rPr>
                <w:i/>
                <w:sz w:val="24"/>
              </w:rPr>
              <w:t>getStorage</w:t>
            </w:r>
            <w:r>
              <w:rPr>
                <w:sz w:val="24"/>
              </w:rPr>
              <w:t xml:space="preserve">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R4</w:t>
            </w:r>
            <w:r>
              <w:rPr>
                <w:sz w:val="24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4"/>
              </w:rPr>
              <w:t>R1</w:t>
            </w:r>
            <w:r>
              <w:rPr>
                <w:sz w:val="24"/>
              </w:rPr>
              <w:t xml:space="preserve"> — Доступность страниц (главная,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R6</w:t>
            </w:r>
            <w:r>
              <w:rPr>
                <w:sz w:val="24"/>
              </w:rPr>
              <w:t xml:space="preserve"> — Разметка и локализация (русская и английская версии)</w:t>
            </w:r>
            <w:r>
              <w:br/>
            </w:r>
            <w:r>
              <w:rPr>
                <w:b/>
                <w:sz w:val="24"/>
              </w:rPr>
              <w:t>R9</w:t>
            </w:r>
            <w:r>
              <w:rPr>
                <w:sz w:val="24"/>
              </w:rPr>
              <w:t xml:space="preserve">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UC-01.1</w:t>
            </w:r>
            <w:r>
              <w:rPr>
                <w:sz w:val="24"/>
              </w:rPr>
              <w:t xml:space="preserve"> — Показ формы и подсказок к полям</w:t>
            </w:r>
            <w:r>
              <w:br/>
            </w:r>
            <w:r>
              <w:rPr>
                <w:b/>
                <w:sz w:val="24"/>
              </w:rPr>
              <w:t>UC-01.2</w:t>
            </w:r>
            <w:r>
              <w:rPr>
                <w:sz w:val="24"/>
              </w:rPr>
              <w:t xml:space="preserve"> — Чтение, очистка и проверка значений по П1–П6</w:t>
            </w:r>
            <w:r>
              <w:br/>
            </w:r>
            <w:r>
              <w:rPr>
                <w:b/>
                <w:sz w:val="24"/>
              </w:rPr>
              <w:t>UC-01.3</w:t>
            </w:r>
            <w:r>
              <w:rPr>
                <w:sz w:val="24"/>
              </w:rPr>
              <w:t xml:space="preserve"> — Показ ошибок, фокус и повторная проверка</w:t>
            </w:r>
            <w:r>
              <w:br/>
            </w:r>
            <w:r>
              <w:rPr>
                <w:b/>
                <w:sz w:val="24"/>
              </w:rPr>
              <w:t>UC-01.4</w:t>
            </w:r>
            <w:r>
              <w:rPr>
                <w:sz w:val="24"/>
              </w:rPr>
              <w:t xml:space="preserve"> — Сохранение заявки в </w:t>
            </w:r>
            <w:r>
              <w:rPr>
                <w:i/>
                <w:sz w:val="24"/>
              </w:rPr>
              <w:t>LocalStorage</w:t>
            </w:r>
            <w:r>
              <w:br/>
            </w:r>
            <w:r>
              <w:rPr>
                <w:b/>
                <w:sz w:val="24"/>
              </w:rPr>
              <w:t>UC-01.5</w:t>
            </w:r>
            <w:r>
              <w:rPr>
                <w:sz w:val="24"/>
              </w:rPr>
              <w:t xml:space="preserve">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UC-00</w:t>
            </w:r>
            <w:r>
              <w:rPr>
                <w:sz w:val="24"/>
              </w:rPr>
              <w:t xml:space="preserve"> — Прочитать политику конфиденциальности (ссылка в тексте согласия,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UC-02</w:t>
            </w:r>
            <w:r>
              <w:rPr>
                <w:sz w:val="24"/>
              </w:rPr>
              <w:t xml:space="preserve"> — Выбрать нотацию на карточке и перейти к записи (ссылки </w:t>
            </w:r>
            <w:r>
              <w:rPr>
                <w:b/>
                <w:sz w:val="24"/>
              </w:rPr>
              <w:t>«Записаться в бету: UML»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«…: BPMN»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D-1</w:t>
            </w:r>
            <w:r>
              <w:rPr>
                <w:sz w:val="24"/>
              </w:rPr>
              <w:t xml:space="preserve"> — Повторные заявки принимаются</w:t>
            </w:r>
            <w:r>
              <w:br/>
            </w:r>
            <w:r>
              <w:rPr>
                <w:b/>
                <w:sz w:val="24"/>
              </w:rPr>
              <w:t>D-2</w:t>
            </w:r>
            <w:r>
              <w:rPr>
                <w:sz w:val="24"/>
              </w:rPr>
              <w:t xml:space="preserve">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IMPL-01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: разметка формы </w:t>
            </w:r>
            <w:r>
              <w:rPr>
                <w:i/>
                <w:sz w:val="24"/>
              </w:rPr>
              <w:t>#waitlist-form</w:t>
            </w:r>
            <w:r>
              <w:br/>
            </w:r>
            <w:r>
              <w:rPr>
                <w:b/>
                <w:sz w:val="24"/>
              </w:rPr>
              <w:t>IMPL-02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initWaitlistForm</w:t>
            </w:r>
            <w:r>
              <w:rPr>
                <w:sz w:val="24"/>
              </w:rPr>
              <w:t>, показ ошибок, отправка</w:t>
            </w:r>
            <w:r>
              <w:br/>
            </w:r>
            <w:r>
              <w:rPr>
                <w:b/>
                <w:sz w:val="24"/>
              </w:rPr>
              <w:t>IMPL-03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site/js/utils/validation.js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 xml:space="preserve"> и правила П1–П6</w:t>
            </w:r>
            <w:r>
              <w:br/>
            </w:r>
            <w:r>
              <w:rPr>
                <w:b/>
                <w:sz w:val="24"/>
              </w:rPr>
              <w:t>IMPL-04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site/js/utils/storage.js</w:t>
            </w:r>
            <w:r>
              <w:rPr>
                <w:sz w:val="24"/>
              </w:rPr>
              <w:t xml:space="preserve">: createStorage, </w:t>
            </w:r>
            <w:r>
              <w:rPr>
                <w:i/>
                <w:sz w:val="24"/>
              </w:rPr>
              <w:t>getStorage</w:t>
            </w:r>
            <w:r>
              <w:br/>
            </w:r>
            <w:r>
              <w:rPr>
                <w:b/>
                <w:sz w:val="24"/>
              </w:rPr>
              <w:t>IMPL-05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site/thanks.html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site/en/thanks.html</w:t>
            </w:r>
            <w:r>
              <w:rPr>
                <w:sz w:val="24"/>
              </w:rPr>
              <w:t>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TC-WL-001</w:t>
            </w:r>
            <w:r>
              <w:rPr>
                <w:sz w:val="24"/>
              </w:rPr>
              <w:t xml:space="preserve"> — Все поля корректны</w:t>
            </w:r>
            <w:r>
              <w:br/>
            </w:r>
            <w:r>
              <w:rPr>
                <w:b/>
                <w:sz w:val="24"/>
              </w:rPr>
              <w:t>TC-WL-002…007</w:t>
            </w:r>
            <w:r>
              <w:rPr>
                <w:sz w:val="24"/>
              </w:rPr>
              <w:t xml:space="preserve"> — Имя: границы и недопустимые символы (П1)</w:t>
            </w:r>
            <w:r>
              <w:br/>
            </w:r>
            <w:r>
              <w:rPr>
                <w:b/>
                <w:sz w:val="24"/>
              </w:rPr>
              <w:t>TC-WL-008…011</w:t>
            </w:r>
            <w:r>
              <w:rPr>
                <w:sz w:val="24"/>
              </w:rPr>
              <w:t xml:space="preserve"> — Почта: формат и длина (П2)</w:t>
            </w:r>
            <w:r>
              <w:br/>
            </w:r>
            <w:r>
              <w:rPr>
                <w:b/>
                <w:sz w:val="24"/>
              </w:rPr>
              <w:t>TC-WL-012…017</w:t>
            </w:r>
            <w:r>
              <w:rPr>
                <w:sz w:val="24"/>
              </w:rPr>
              <w:t xml:space="preserve"> — Размер команды: границы и тип (П4)</w:t>
            </w:r>
            <w:r>
              <w:br/>
            </w:r>
            <w:r>
              <w:rPr>
                <w:b/>
                <w:sz w:val="24"/>
              </w:rPr>
              <w:t>TC-WL-018</w:t>
            </w:r>
            <w:r>
              <w:rPr>
                <w:sz w:val="24"/>
              </w:rPr>
              <w:t xml:space="preserve"> — Нотация вне списка (П3)</w:t>
            </w:r>
            <w:r>
              <w:br/>
            </w:r>
            <w:r>
              <w:rPr>
                <w:b/>
                <w:sz w:val="24"/>
              </w:rPr>
              <w:t>TC-WL-019, 020</w:t>
            </w:r>
            <w:r>
              <w:rPr>
                <w:sz w:val="24"/>
              </w:rPr>
              <w:t xml:space="preserve"> — Комментарий: граница 500 (П5)</w:t>
            </w:r>
            <w:r>
              <w:br/>
            </w:r>
            <w:r>
              <w:rPr>
                <w:b/>
                <w:sz w:val="24"/>
              </w:rPr>
              <w:t>TC-WL-021</w:t>
            </w:r>
            <w:r>
              <w:rPr>
                <w:sz w:val="24"/>
              </w:rPr>
              <w:t xml:space="preserve"> — Согласие не дано (П6)</w:t>
            </w:r>
            <w:r>
              <w:br/>
            </w:r>
            <w:r>
              <w:rPr>
                <w:b/>
                <w:sz w:val="24"/>
              </w:rPr>
              <w:t>TC-WL-022</w:t>
            </w:r>
            <w:r>
              <w:rPr>
                <w:sz w:val="24"/>
              </w:rPr>
              <w:t xml:space="preserve"> — Пустая форма (A1)</w:t>
            </w:r>
            <w:r>
              <w:br/>
            </w:r>
            <w:r>
              <w:rPr>
                <w:b/>
                <w:sz w:val="24"/>
              </w:rPr>
              <w:t>SM-07</w:t>
            </w:r>
            <w:r>
              <w:rPr>
                <w:sz w:val="24"/>
              </w:rPr>
              <w:t xml:space="preserve"> — Форма заявки есть на главной</w:t>
            </w:r>
            <w:r>
              <w:br/>
            </w:r>
            <w:r>
              <w:rPr>
                <w:b/>
                <w:sz w:val="24"/>
              </w:rPr>
              <w:t>CP-35</w:t>
            </w:r>
            <w:r>
              <w:rPr>
                <w:sz w:val="24"/>
              </w:rPr>
              <w:t xml:space="preserve"> — Валидация корректной заявки</w:t>
            </w:r>
            <w:r>
              <w:br/>
            </w:r>
            <w:r>
              <w:rPr>
                <w:b/>
                <w:sz w:val="24"/>
              </w:rPr>
              <w:t>CP-36</w:t>
            </w:r>
            <w:r>
              <w:rPr>
                <w:sz w:val="24"/>
              </w:rPr>
              <w:t xml:space="preserve">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SCR-01</w:t>
            </w:r>
            <w:r>
              <w:rPr>
                <w:sz w:val="24"/>
              </w:rPr>
              <w:t xml:space="preserve"> — Главная страница, русская версия (01-home.png)</w:t>
            </w:r>
            <w:r>
              <w:br/>
            </w:r>
            <w:r>
              <w:rPr>
                <w:b/>
                <w:sz w:val="24"/>
              </w:rPr>
              <w:t>SCR-02</w:t>
            </w:r>
            <w:r>
              <w:rPr>
                <w:sz w:val="24"/>
              </w:rPr>
              <w:t xml:space="preserve"> — Главная страница, английская версия (02-home-en.png)</w:t>
            </w:r>
            <w:r>
              <w:br/>
            </w:r>
            <w:r>
              <w:rPr>
                <w:b/>
                <w:sz w:val="24"/>
              </w:rPr>
              <w:t>SCR-03</w:t>
            </w:r>
            <w:r>
              <w:rPr>
                <w:sz w:val="24"/>
              </w:rPr>
              <w:t xml:space="preserve"> — Форма заявки: ошибки при пустой отправке (03-form-errors.png)</w:t>
            </w:r>
            <w:r>
              <w:br/>
            </w:r>
            <w:r>
              <w:rPr>
                <w:b/>
                <w:sz w:val="24"/>
              </w:rPr>
              <w:t>SCR-04</w:t>
            </w:r>
            <w:r>
              <w:rPr>
                <w:sz w:val="24"/>
              </w:rPr>
              <w:t xml:space="preserve"> — Форма заявки: заполнена корректными данными (04-form-filled.png)</w:t>
            </w:r>
            <w:r>
              <w:br/>
            </w:r>
            <w:r>
              <w:rPr>
                <w:b/>
                <w:sz w:val="24"/>
              </w:rPr>
              <w:t>SCR-05</w:t>
            </w:r>
            <w:r>
              <w:rPr>
                <w:sz w:val="24"/>
              </w:rPr>
              <w:t xml:space="preserve"> — Страница благодарности (05-form-submitted.png)</w:t>
            </w:r>
            <w:r>
              <w:br/>
            </w:r>
            <w:r>
              <w:rPr>
                <w:b/>
                <w:sz w:val="24"/>
              </w:rPr>
              <w:t>SCR-06</w:t>
            </w:r>
            <w:r>
              <w:rPr>
                <w:sz w:val="24"/>
              </w:rPr>
              <w:t xml:space="preserve"> — Запись заявки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(12-uc-storage-record.png)</w:t>
            </w:r>
            <w:r>
              <w:br/>
            </w:r>
            <w:r>
              <w:rPr>
                <w:b/>
                <w:sz w:val="24"/>
              </w:rPr>
              <w:t>SCR-07</w:t>
            </w:r>
            <w:r>
              <w:rPr>
                <w:sz w:val="24"/>
              </w:rPr>
              <w:t xml:space="preserve">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</w:r>
            <w:r>
              <w:br/>
            </w:r>
            <w:r>
              <w:rPr>
                <w:sz w:val="24"/>
              </w:rPr>
              <w:t>http://localhost:5173/ — главная страница (русская версия)</w:t>
            </w:r>
            <w:r>
              <w:br/>
            </w:r>
            <w:r>
              <w:rPr>
                <w:sz w:val="24"/>
              </w:rPr>
              <w:t>http://localhost:5173/#waitlist — раздел «Записаться в бету»</w:t>
            </w:r>
            <w:r>
              <w:br/>
            </w:r>
            <w:r>
              <w:rPr>
                <w:sz w:val="24"/>
              </w:rPr>
              <w:t>http://localhost:5173/thanks.html — страница благодарности</w:t>
            </w:r>
            <w:r>
              <w:br/>
            </w:r>
            <w:r>
              <w:rPr>
                <w:sz w:val="24"/>
              </w:rPr>
              <w:t>http://localhost:5173/privacy.html — политика конфиденциальности</w:t>
            </w:r>
            <w:r>
              <w:br/>
            </w:r>
            <w:r>
              <w:rPr>
                <w:sz w:val="24"/>
              </w:rPr>
              <w:t>http://localhost:5173/en/ — главная страница (английская версия)</w:t>
            </w:r>
            <w:r>
              <w:br/>
            </w:r>
            <w:r>
              <w:rPr>
                <w:sz w:val="24"/>
              </w:rPr>
              <w:t>http://localhost:5173/en/thanks.html — страница благодарности (английская версия)</w:t>
            </w:r>
            <w:r>
              <w:br/>
            </w:r>
            <w:r>
              <w:rPr>
                <w:sz w:val="24"/>
              </w:rPr>
              <w:t>Репозиторий и источники:</w:t>
            </w:r>
            <w:r>
              <w:br/>
            </w:r>
            <w:r>
              <w:rPr>
                <w:sz w:val="24"/>
              </w:rPr>
              <w:t>https://github.com/KsushaKhadzhinova/DSLKit-Project — репозиторий проекта</w:t>
            </w:r>
            <w:r>
              <w:br/>
            </w:r>
            <w:r>
              <w:rPr>
                <w:sz w:val="24"/>
              </w:rPr>
              <w:t>https://svyatoslav.biz/software_testing_book/ — книга «Тестирование программного обеспечения. Базовый курс»</w:t>
            </w:r>
            <w:r>
              <w:br/>
            </w:r>
            <w:r>
              <w:rPr>
                <w:sz w:val="24"/>
              </w:rPr>
              <w:t>https://github.com/KsushaKhadzhinova/report-gen — генератор отчётов</w:t>
            </w:r>
          </w:p>
        </w:tc>
      </w:tr>
    </w:tbl>
    <w:p/>
    <w:p>
      <w:pPr>
        <w:pStyle w:val="Heading2"/>
      </w:pPr>
      <w:r>
        <w:t>Данные формы: типы и допустимые 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 данных</w:t>
            </w:r>
          </w:p>
        </w:tc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Обяза-тельно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 умолчанию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Допустимые значения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Недопустимые значения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name (#name)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type=text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email (#email)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type=email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notation (#notation)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не выбрано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team (#team)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0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comment (#comment)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textarea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consent (#consent)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boolean; checkbox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false (снят)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</w:pPr>
      <w:r>
        <w:t>Диаграммы процесса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6557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55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A. Блок-схема сценария UC-01: основной поток и альтернативные потоки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7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7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B. Состояния поля формы при проверке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1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C. Компоненты и обмен данными при отправке заявки</w:t>
      </w:r>
    </w:p>
    <w:p>
      <w:pPr>
        <w:pStyle w:val="Heading1"/>
      </w:pPr>
      <w:r>
        <w:t>2. Этап 2. Тестирование требования методом просмотра</w:t>
      </w:r>
    </w:p>
    <w:p>
      <w:r>
        <w:rPr>
          <w:b w:val="0"/>
        </w:rPr>
        <w:t>Просмотр выполнен по критериям из п. 2.3 методических указаний. Каждое утверждение Use Case сверено с кодом проекта и с поведением работающего приложения (раздел 3).</w:t>
      </w:r>
    </w:p>
    <w:p>
      <w:pPr>
        <w:pStyle w:val="Heading2"/>
      </w:pPr>
      <w:r>
        <w:t>2.1. Проверка по критериям качества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Критерий</w:t>
            </w:r>
          </w:p>
        </w:tc>
        <w:tc>
          <w:tcPr>
            <w:tcW w:type="dxa" w:w="141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  <w:tc>
          <w:tcPr>
            <w:tcW w:type="dxa" w:w="5953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Перечислены все поля, правила П1–П6 с числовыми границами, тексты места хранения и страницы результата; нет выражений «и т. д.» и «см. выше»; ссылки идут на пронумерованные шаги и правила.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Атомарность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Каждый шаг основного потока описывает одно действие (шаги 1–7 по одному полю), правила вынесены в отдельные пункты П1–П6.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Непротиворечивость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Поведение A4 и E1 описано так же, как работает код waitlist-form.js; границы из П1–П6 совпадают с validation.js.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Недвусмысленность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Нет оценочных слов («быстро», «удобно»), названы конкретные имена полей, кнопок, ключа хранилища и страницы.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Выполнимость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Все шаги реализованы в текущей версии сайта без серверной части.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Обязательность и актуальность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Описаны только действующие потоки; устаревших и необязательных требований нет.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Прослеживаемость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Указаны ID UC-01, подзадачи UC-01.1…01.5, требование R4, связанный UC-00, тест-кейсы TC-WL-001…022, проверки SM-07, CP-35, CP-36 и файлы реализации.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Модифицируемость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Правила проверки вынесены в одну таблицу П1–П6, изменение границы правит одно место, остальной текст на них только ссылается.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Проверяемость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Для каждого правила и потока есть тест-кейс или проверка с однозначным ожидаемым результатом.</w:t>
            </w:r>
          </w:p>
        </w:tc>
      </w:tr>
    </w:tbl>
    <w:p/>
    <w:p>
      <w:pPr>
        <w:pStyle w:val="Heading2"/>
      </w:pPr>
      <w:r>
        <w:t>2.2. Дефекты требований</w:t>
      </w:r>
    </w:p>
    <w:p>
      <w:r>
        <w:rPr>
          <w:b w:val="0"/>
        </w:rPr>
        <w:t>По таблице нарушенных критериев дефектов требований в итоговой версии Use Case не выявлено. Первичный просмотр черновика нашёл формулировки «быстро», «система проверяет данные», «и т. д.» и отсутствие потоков для повторной заявки и сбоя хранилища; все они устранены в этой версии, потоки A4 и E1 добавлены.</w:t>
      </w:r>
    </w:p>
    <w:p>
      <w:pPr>
        <w:pStyle w:val="Heading2"/>
      </w:pPr>
      <w:r>
        <w:t>2.3. Уточняющие вопросы автору (зафиксированные решения)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№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Вопрос</w:t>
            </w:r>
          </w:p>
        </w:tc>
        <w:tc>
          <w:tcPr>
            <w:tcW w:type="dxa" w:w="51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Принятое решение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Куда сохраняется заявка?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В LocalStorage браузера под ключом dslkit.waitlist, на сервер не отправляется (шаг 10).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Нужно ли отклонять повторную заявку с тем же адресом?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Нет, принимается как отдельная запись (A4). Рекомендация владельцу продукта: пересмотреть при появлении серверной части (D-1).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Что видит посетитель при сбое записи?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Страницу благодарности без сообщения об ошибке (E1). Рекомендация: показывать ошибку и оставлять форму (D-2).</w:t>
            </w:r>
          </w:p>
        </w:tc>
      </w:tr>
    </w:tbl>
    <w:p/>
    <w:p>
      <w:pPr>
        <w:pStyle w:val="Heading1"/>
      </w:pPr>
      <w:r>
        <w:t>3. Проверка Use Case на работающем приложении</w:t>
      </w:r>
    </w:p>
    <w:p>
      <w:r>
        <w:rPr>
          <w:b w:val="0"/>
        </w:rPr>
        <w:t>Стенд: Windows 11, локальный сервер проекта (npm start, http://localhost:5173), браузер Microsoft Edge, автоматизация Playwright (lab1/dynamic.py). Данные хранилища смотрелись в localStorage по ключу dslkit.waitlist.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Сценарий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Ожидаемо по Use Case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Фактически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Основной поток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Шаги 1–11: переход на thanks.html, 1 запись, значения без пробелов по краям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/thanks.html, записей 1, имя сохранено как «Анна Иванова» (пробелы по краям убраны)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Пустая форма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A1, A2: ошибки под полями, фокус на первом неверном, записи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/, ошибок на экране 4 (имя, email, нотация, согласие), фокус на поле «name», новых записей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Исправление данных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A1: после исправления ошибка поля исчезает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Ошибка имени скрылась после ввода и ухода из поля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A4. Повторная заявка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Принимается как новая запись (2 записи)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Принята, записей стало 2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E1. Ошибка сохранения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Страница благодарности, записи нет, ошибки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Открылась /thanks.html, записей 0, сообщения об ошибке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r>
        <w:rPr>
          <w:b w:val="0"/>
        </w:rPr>
        <w:t>Итог: 5 сценариев из 5 соответствуют Use Case. Расхождений между требованием и реализацией нет. Замечания к продукту (не к требованиям): D-1 повторные заявки принимаются, D-2 при сбое записи посетителю показывается успех. Они зафиксированы в A4 и E1 как действующее поведение и рекомендованы к доработке.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26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c-main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Основной поток: форма заполнена (в имени пробелы по краям)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c-storage-rec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Основной поток: запись в LocalStorage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Альтернативный поток A1: пустая форма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uc-storage-fail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E1: при ошибке записи показана страница благодарности, заявка не сохранена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