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"/>
        <w:jc w:val="center"/>
      </w:pPr>
      <w:r>
        <w:rPr>
          <w:b/>
          <w:bCs/>
          <w:sz w:val="32"/>
          <w:szCs w:val="32"/>
        </w:rPr>
        <w:t xml:space="preserve">Что осталось доснять/решить самой</w:t>
      </w:r>
    </w:p>
    <w:p>
      <w:pPr>
        <w:spacing w:after="120"/>
      </w:pPr>
      <w:r>
        <w:t xml:space="preserve">Сводный список по всему проекту DiagramCode («Электронный бизнес»). Каждый пункт — то, что не может быть сделано без вашего личного доступа, аккаунта или решения. Всё остальное уже сделано и лежит в </w:t>
      </w:r>
      <w:r>
        <w:rPr>
          <w:rFonts w:ascii="Consolas" w:cs="Consolas" w:eastAsia="Consolas" w:hAnsi="Consolas"/>
        </w:rPr>
        <w:t xml:space="preserve">labs/</w:t>
      </w:r>
      <w:r>
        <w:t xml:space="preserve">.</w:t>
      </w:r>
    </w:p>
    <w:p>
      <w:pPr>
        <w:pStyle w:val="Heading1"/>
        <w:spacing w:after="120" w:before="240"/>
      </w:pPr>
      <w:r>
        <w:t xml:space="preserve">1. Скриншоты и данные, требующие вашего логина</w:t>
      </w:r>
    </w:p>
    <w:p>
      <w:pPr>
        <w:pStyle w:val="Heading2"/>
        <w:spacing w:after="100" w:before="200"/>
      </w:pPr>
      <w:r>
        <w:t xml:space="preserve">1.1. Яндекс Вордстат (ЛР1)</w:t>
      </w:r>
    </w:p>
    <w:p>
      <w:pPr>
        <w:spacing w:after="120"/>
      </w:pPr>
      <w:r>
        <w:t xml:space="preserve">Сервис теперь требует входа в Яндекс ID даже для базовой частотности запросов.</w:t>
      </w:r>
    </w:p>
    <w:p>
      <w:pPr>
        <w:spacing w:after="120"/>
      </w:pPr>
      <w:r>
        <w:rPr>
          <w:b/>
          <w:bCs/>
        </w:rPr>
        <w:t xml:space="preserve">Как снять</w:t>
      </w:r>
      <w:r>
        <w:t xml:space="preserve">: 1. Открыть [wordstat.yandex.com](https://wordstat.yandex.com), войти под своим Яндекс ID. 2. Ввести запрос из семантического ядра (минимум 4: «диаграмма как код», «UML генератор онлайн», «ERD онлайн конструктор», «AI генератор диаграмм»), регион — Беларусь. 3. Скриншот таблицы: «Показов в месяц», «Похожие запросы», «История запросов». 4. Сохранить в </w:t>
      </w:r>
      <w:r>
        <w:rPr>
          <w:rFonts w:ascii="Consolas" w:cs="Consolas" w:eastAsia="Consolas" w:hAnsi="Consolas"/>
        </w:rPr>
        <w:t xml:space="preserve">labs/lab1-demand/screenshots/wordstat_&lt;запрос&gt;.png</w:t>
      </w:r>
      <w:r>
        <w:t xml:space="preserve">.</w:t>
      </w:r>
    </w:p>
    <w:p>
      <w:pPr>
        <w:spacing w:after="120"/>
      </w:pPr>
      <w:r>
        <w:rPr>
          <w:b/>
          <w:bCs/>
        </w:rPr>
        <w:t xml:space="preserve">Подпись</w:t>
      </w:r>
      <w:r>
        <w:t xml:space="preserve">: «Рисунок 3.N — Частотность запроса «…» в Яндекс Вордстат (регион: Беларусь, дата снятия: …)».</w:t>
      </w:r>
    </w:p>
    <w:p>
      <w:pPr>
        <w:pStyle w:val="Heading2"/>
        <w:spacing w:after="100" w:before="200"/>
      </w:pPr>
      <w:r>
        <w:t xml:space="preserve">1.2. SimilarWeb — 2 недостающих домена (ЛР2-3, ЛР4)</w:t>
      </w:r>
    </w:p>
    <w:p>
      <w:pPr>
        <w:spacing w:after="120"/>
      </w:pPr>
      <w:r>
        <w:t xml:space="preserve">Бесплатный лимит SimilarWeb исчерпался после 2 доменов (plantuml.com, mermaidchart.com получены).</w:t>
      </w:r>
    </w:p>
    <w:p>
      <w:pPr>
        <w:spacing w:after="120"/>
      </w:pPr>
      <w:r>
        <w:rPr>
          <w:b/>
          <w:bCs/>
        </w:rPr>
        <w:t xml:space="preserve">Как снять</w:t>
      </w:r>
      <w:r>
        <w:t xml:space="preserve">: 1. Открыть [similarweb.com/website/eraser.io](https://www.similarweb.com/website/eraser.io/) с другого браузера/устройства или на следующий день (лимит обновляется по IP/аккаунту). 2. Скриншот блоков Total Visits, Global Rank, Top Countries. 3. Повторить для </w:t>
      </w:r>
      <w:r>
        <w:rPr>
          <w:rFonts w:ascii="Consolas" w:cs="Consolas" w:eastAsia="Consolas" w:hAnsi="Consolas"/>
        </w:rPr>
        <w:t xml:space="preserve">app.diagrams.net</w:t>
      </w:r>
      <w:r>
        <w:t xml:space="preserve">. 4. Сохранить в </w:t>
      </w:r>
      <w:r>
        <w:rPr>
          <w:rFonts w:ascii="Consolas" w:cs="Consolas" w:eastAsia="Consolas" w:hAnsi="Consolas"/>
        </w:rPr>
        <w:t xml:space="preserve">labs/lab2-3-market-size/screenshots/similarweb_eraser.png</w:t>
      </w:r>
      <w:r>
        <w:t xml:space="preserve"> и </w:t>
      </w:r>
      <w:r>
        <w:rPr>
          <w:rFonts w:ascii="Consolas" w:cs="Consolas" w:eastAsia="Consolas" w:hAnsi="Consolas"/>
        </w:rPr>
        <w:t xml:space="preserve">similarweb_drawio.png</w:t>
      </w:r>
      <w:r>
        <w:t xml:space="preserve">.</w:t>
      </w:r>
    </w:p>
    <w:p>
      <w:pPr>
        <w:spacing w:after="120"/>
      </w:pPr>
      <w:r>
        <w:t xml:space="preserve">Это же закрыло бы честно отмеченный пробел в ЛР4 (индекс концентрации CR3/CR5 сейчас не считается именно из-за нехватки этих двух доменов).</w:t>
      </w:r>
    </w:p>
    <w:p>
      <w:pPr>
        <w:pStyle w:val="Heading1"/>
        <w:spacing w:after="120" w:before="240"/>
      </w:pPr>
      <w:r>
        <w:t xml:space="preserve">2. Решения, которые могу принять только вы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2"/>
      </w:tblGrid>
      <w:tr>
        <w:trPr>
          <w:tblHeader/>
        </w:trPr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Что решить</w:t>
            </w:r>
          </w:p>
        </w:tc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Почему нужно ваше решение</w:t>
            </w:r>
          </w:p>
        </w:tc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Где это влияет</w:t>
            </w:r>
          </w:p>
        </w:tc>
      </w:tr>
      <w:tr>
        <w:tc>
          <w:tcPr>
            <w:tcW w:type="dxa" w:w="3212"/>
          </w:tcPr>
          <w:p>
            <w:r>
              <w:t xml:space="preserve">Реальная цена подписки DiagramCode</w:t>
            </w:r>
          </w:p>
        </w:tc>
        <w:tc>
          <w:tcPr>
            <w:tcW w:type="dxa" w:w="3212"/>
          </w:tcPr>
          <w:p>
            <w:r>
              <w:t xml:space="preserve">Сейчас используется рабочее допущение $8/участник/мес ≈ $480/год (по аналогии с Eraser.io Starter, продешевле для СНГ) — это не решение о прайсинге, а место в расчёте</w:t>
            </w:r>
          </w:p>
        </w:tc>
        <w:tc>
          <w:tcPr>
            <w:tcW w:type="dxa" w:w="3212"/>
          </w:tcPr>
          <w:p>
            <w:r>
              <w:t xml:space="preserve">ЛР2-3, ЛР6 (Канвас), ЛР7 (весь расчёт рынка пересчитается при другой цене)</w:t>
            </w:r>
          </w:p>
        </w:tc>
      </w:tr>
      <w:tr>
        <w:tc>
          <w:tcPr>
            <w:tcW w:type="dxa" w:w="3212"/>
          </w:tcPr>
          <w:p>
            <w:r>
              <w:t xml:space="preserve">ФИО преподавателя по дисциплине «Электронный бизнес»</w:t>
            </w:r>
          </w:p>
        </w:tc>
        <w:tc>
          <w:tcPr>
            <w:tcW w:type="dxa" w:w="3212"/>
          </w:tcPr>
          <w:p>
            <w:r>
              <w:t xml:space="preserve">Не было в присланных методических материалах</w:t>
            </w:r>
          </w:p>
        </w:tc>
        <w:tc>
          <w:tcPr>
            <w:tcW w:type="dxa" w:w="3212"/>
          </w:tcPr>
          <w:p>
            <w:r>
              <w:t xml:space="preserve">Титульный лист </w:t>
            </w:r>
            <w:r>
              <w:rPr>
                <w:rFonts w:ascii="Consolas" w:cs="Consolas" w:eastAsia="Consolas" w:hAnsi="Consolas"/>
              </w:rPr>
              <w:t xml:space="preserve">ОТЧЕТ_по_лабораторным_работам_1-7_Электронный_бизнес.docx</w:t>
            </w:r>
            <w:r>
              <w:t xml:space="preserve"> — сейчас там </w:t>
            </w:r>
            <w:r>
              <w:rPr>
                <w:rFonts w:ascii="Consolas" w:cs="Consolas" w:eastAsia="Consolas" w:hAnsi="Consolas"/>
              </w:rPr>
              <w:t xml:space="preserve">[ФИО преподавателя]</w:t>
            </w:r>
          </w:p>
        </w:tc>
      </w:tr>
      <w:tr>
        <w:tc>
          <w:tcPr>
            <w:tcW w:type="dxa" w:w="3212"/>
          </w:tcPr>
          <w:p>
            <w:r>
              <w:t xml:space="preserve">Сдавать ЛР2 и ЛР3 как одну работу или как две</w:t>
            </w:r>
          </w:p>
        </w:tc>
        <w:tc>
          <w:tcPr>
            <w:tcW w:type="dxa" w:w="3212"/>
          </w:tcPr>
          <w:p>
            <w:r>
              <w:t xml:space="preserve">В методичках задания дословно совпадают, что подтвердили и одногруппницы в переписке («на одну меньше делать») — но финальное решение по регламенту сдачи должно быть от преподавателя/деканата, не от анализа содержания</w:t>
            </w:r>
          </w:p>
        </w:tc>
        <w:tc>
          <w:tcPr>
            <w:tcW w:type="dxa" w:w="3212"/>
          </w:tcPr>
          <w:p>
            <w:r>
              <w:t xml:space="preserve">Формат сдачи</w:t>
            </w:r>
          </w:p>
        </w:tc>
      </w:tr>
      <w:tr>
        <w:tc>
          <w:tcPr>
            <w:tcW w:type="dxa" w:w="3212"/>
          </w:tcPr>
          <w:p>
            <w:r>
              <w:t xml:space="preserve">Подтвердить бизнес-идею как окончательную</w:t>
            </w:r>
          </w:p>
        </w:tc>
        <w:tc>
          <w:tcPr>
            <w:tcW w:type="dxa" w:w="3212"/>
          </w:tcPr>
          <w:p>
            <w:r>
              <w:t xml:space="preserve">Все 7 лабораторных сделаны на примере реального продукта DiagramCode — если для курса нужна другая идея, всё придётся пересчитывать</w:t>
            </w:r>
          </w:p>
        </w:tc>
        <w:tc>
          <w:tcPr>
            <w:tcW w:type="dxa" w:w="3212"/>
          </w:tcPr>
          <w:p>
            <w:r>
              <w:t xml:space="preserve">Весь проект</w:t>
            </w:r>
          </w:p>
        </w:tc>
      </w:tr>
      <w:tr>
        <w:tc>
          <w:tcPr>
            <w:tcW w:type="dxa" w:w="3212"/>
          </w:tcPr>
          <w:p>
            <w:r>
              <w:t xml:space="preserve">Устраивает ли честное «7 из 9» семейств пользовательских сценариев</w:t>
            </w:r>
          </w:p>
        </w:tc>
        <w:tc>
          <w:tcPr>
            <w:tcW w:type="dxa" w:w="3212"/>
          </w:tcPr>
          <w:p>
            <w:r>
              <w:t xml:space="preserve">В продукте нет партнёрской программы и нет отдельной роли администратора — заполнить эти 2 из 9 семейств методики можно только придуманным (несуществующим) функционалом. Решить: оставить как честный, документированный пробел (рекомендуется) или дать указание всё же придумать эти 2 сценария под гипотетический будущий функционал</w:t>
            </w:r>
          </w:p>
        </w:tc>
        <w:tc>
          <w:tcPr>
            <w:tcW w:type="dxa" w:w="3212"/>
          </w:tcPr>
          <w:p>
            <w:r>
              <w:t xml:space="preserve">ЛР6, раздел 3.1</w:t>
            </w:r>
          </w:p>
        </w:tc>
      </w:tr>
    </w:tbl>
    <w:p>
      <w:pPr>
        <w:spacing w:after="120"/>
      </w:pPr>
    </w:p>
    <w:p>
      <w:pPr>
        <w:pStyle w:val="Heading1"/>
        <w:spacing w:after="120" w:before="240"/>
      </w:pPr>
      <w:r>
        <w:t xml:space="preserve">3. Проверка допущений через реальных людей (ни один инструмент это не заменит)</w:t>
      </w:r>
    </w:p>
    <w:p>
      <w:pPr>
        <w:spacing w:after="120"/>
      </w:pPr>
      <w:r>
        <w:t xml:space="preserve">Методики прямо требуют это как следующий шаг после кабинетного анализа: - Опрос 5-10 реальных разработчиков/техписателей из ПВТ-компаний: готовы ли они платить именно за охват нотаций, а не за AI как таковой (это ключевая непроверенная гипотеза, см. ЛР5, раздел 7). - Тестовые продажи/лендинг с формой предзаписи — для проверки реальной конверсии вместо предполагаемых 5-20%, заложенных в расчёт рынка.</w:t>
      </w:r>
    </w:p>
    <w:p>
      <w:pPr>
        <w:pStyle w:val="Heading1"/>
        <w:spacing w:after="120" w:before="240"/>
      </w:pPr>
      <w:r>
        <w:t xml:space="preserve">4. Excel-шаблоны методик — статус</w:t>
      </w:r>
    </w:p>
    <w:p>
      <w:pPr>
        <w:spacing w:after="120"/>
      </w:pPr>
      <w:r>
        <w:t xml:space="preserve">Реальные </w:t>
      </w:r>
      <w:r>
        <w:rPr>
          <w:rFonts w:ascii="Consolas" w:cs="Consolas" w:eastAsia="Consolas" w:hAnsi="Consolas"/>
        </w:rPr>
        <w:t xml:space="preserve">.xlsx</w:t>
      </w:r>
      <w:r>
        <w:t xml:space="preserve">-файлы с формулами (не просто текст) созданы для всех четырёх лабораторных, где методика их требует: - </w:t>
      </w:r>
      <w:r>
        <w:rPr>
          <w:rFonts w:ascii="Consolas" w:cs="Consolas" w:eastAsia="Consolas" w:hAnsi="Consolas"/>
        </w:rPr>
        <w:t xml:space="preserve">labs/lab1-demand/ЛР1_Тренд_Сезонность_DiagramCode.xlsx</w:t>
      </w:r>
      <w:r>
        <w:t xml:space="preserve"> — 40 месяцев реальных данных Google Trends, формулы скользящего среднего, YoY-роста, сезонного индекса по месяцам. - </w:t>
      </w:r>
      <w:r>
        <w:rPr>
          <w:rFonts w:ascii="Consolas" w:cs="Consolas" w:eastAsia="Consolas" w:hAnsi="Consolas"/>
        </w:rPr>
        <w:t xml:space="preserve">labs/lab4-porter/ЛР4_Портер_SimilarWeb_DiagramCode.xlsx</w:t>
      </w:r>
      <w:r>
        <w:t xml:space="preserve"> — матрица 5 сил и барьеров с формулами AVERAGE(). - </w:t>
      </w:r>
      <w:r>
        <w:rPr>
          <w:rFonts w:ascii="Consolas" w:cs="Consolas" w:eastAsia="Consolas" w:hAnsi="Consolas"/>
        </w:rPr>
        <w:t xml:space="preserve">labs/lab5-competitors/ЛР5_Классификация_Левитт_Кано_DiagramCode.xlsx</w:t>
      </w:r>
      <w:r>
        <w:t xml:space="preserve"> — формула классификации на живых SUMPRODUCT/IF, модели Левитта и Кано. - </w:t>
      </w:r>
      <w:r>
        <w:rPr>
          <w:rFonts w:ascii="Consolas" w:cs="Consolas" w:eastAsia="Consolas" w:hAnsi="Consolas"/>
        </w:rPr>
        <w:t xml:space="preserve">labs/lab6-canvas-releases/ЛР6_Канвас_Сценарии_Релизы_DiagramCode.xlsx</w:t>
      </w:r>
      <w:r>
        <w:t xml:space="preserve"> — один консолидированный файл на все 5 требуемых шаблонов.</w:t>
      </w:r>
    </w:p>
    <w:p>
      <w:pPr>
        <w:spacing w:after="120"/>
      </w:pPr>
      <w:r>
        <w:rPr>
          <w:b/>
          <w:bCs/>
        </w:rPr>
        <w:t xml:space="preserve">Оговорка</w:t>
      </w:r>
      <w:r>
        <w:t xml:space="preserve">: это не побайтовая копия каждого листа из оригинальных многолистовых шаблонов курса (там встречаются доп. листы вроде «Дашборд» с десятками ячеек, «Банк анализа» и т.п.) — а компактные рабочие файлы с той же логикой, реальными данными и настоящими формулами. Если для сдачи нужна точная структура листов оригинальных </w:t>
      </w:r>
      <w:r>
        <w:rPr>
          <w:rFonts w:ascii="Consolas" w:cs="Consolas" w:eastAsia="Consolas" w:hAnsi="Consolas"/>
        </w:rPr>
        <w:t xml:space="preserve">.xlsx</w:t>
      </w:r>
      <w:r>
        <w:t xml:space="preserve">-шаблонов один в один — скажите, доработаю под конкретный шаблон.</w:t>
      </w:r>
    </w:p>
    <w:p>
      <w:pPr>
        <w:pStyle w:val="Heading1"/>
        <w:spacing w:after="120" w:before="240"/>
      </w:pPr>
      <w:r>
        <w:t xml:space="preserve">5. Общая рекомендация перед сдачей</w:t>
      </w:r>
    </w:p>
    <w:p>
      <w:pPr>
        <w:spacing w:after="120"/>
      </w:pPr>
      <w:r>
        <w:t xml:space="preserve">Прочитать сводный отчёт </w:t>
      </w:r>
      <w:r>
        <w:rPr>
          <w:rFonts w:ascii="Consolas" w:cs="Consolas" w:eastAsia="Consolas" w:hAnsi="Consolas"/>
        </w:rPr>
        <w:t xml:space="preserve">labs/lab7-final-report/ОТЧЕТ_по_лабораторным_работам_1-7_Электронный_бизнес.docx</w:t>
      </w:r>
      <w:r>
        <w:t xml:space="preserve"> и краткое резюме </w:t>
      </w:r>
      <w:r>
        <w:rPr>
          <w:rFonts w:ascii="Consolas" w:cs="Consolas" w:eastAsia="Consolas" w:hAnsi="Consolas"/>
        </w:rPr>
        <w:t xml:space="preserve">КРАТКОЕ_РЕЗЮМЕ_DiagramCode.docx</w:t>
      </w:r>
      <w:r>
        <w:t xml:space="preserve"> целиком самой — все выводы там являются анализом кабинетного типа (открытые данные + разумные допущения), а не гарантированным прогнозом; методики сами это подчёркивают на каждом шаге.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2026-09-23T06:06:42.432Z</dcterms:created>
  <dcterms:modified xsi:type="dcterms:W3CDTF">2026-09-23T06:06:42.433Z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