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Что и как было сделано по проекту DiagramCode — подробное объяснение</w:t>
      </w:r>
    </w:p>
    <w:p>
      <w:pPr>
        <w:pStyle w:val="Heading1"/>
        <w:spacing w:after="120" w:before="240"/>
      </w:pPr>
      <w:r>
        <w:t xml:space="preserve">0. Контекст: что это за курс и что за проект</w:t>
      </w:r>
    </w:p>
    <w:p>
      <w:pPr>
        <w:spacing w:after="120"/>
      </w:pPr>
      <w:r>
        <w:t xml:space="preserve">Курс «Электронный бизнес» требует пройти полный цикл бизнес-анализа цифрового продукта: от проверки поискового спроса до управленческого решения о запуске. Материалы курса — 7 лабораторных работ (ЛР1-7), каждая со своей методичкой (Word) и часто с сопутствующим Excel-шаблоном.</w:t>
      </w:r>
    </w:p>
    <w:p>
      <w:pPr>
        <w:spacing w:after="120"/>
      </w:pPr>
      <w:r>
        <w:t xml:space="preserve">В качестве объекта анализа для всех семи лабораторных выбран реальный проект </w:t>
      </w:r>
      <w:r>
        <w:rPr>
          <w:b/>
          <w:bCs/>
        </w:rPr>
        <w:t xml:space="preserve">DiagramCode</w:t>
      </w:r>
      <w:r>
        <w:t xml:space="preserve"> — уже существующий (в разработке) сервис визуального моделирования диаграмм через собственный текстовый DSL (UML, ERD, IDEF0/1X/3, DFD, BPMN, сети Петри), с git-подобным версионированием, AI-генерацией по тексту/изображению и совместным редактированием. Это значит, что бизнес-анализ строился не на абстрактном примере, а на реальной архитектуре и реальных решениях уже существующего продукта — там, где это было возможно, использовались настоящие технические факты (например, состав первого релиза — не выдумка для лабы, а то, что уже спроектировано в архитектуре продукта).</w:t>
      </w:r>
    </w:p>
    <w:p>
      <w:pPr>
        <w:spacing w:after="120"/>
      </w:pPr>
      <w:r>
        <w:t xml:space="preserve">Методички ЛР2 и ЛР3 в присланном комплекте дословно совпадают (подтверждено и перепиской одногруппниц: «лаб2=лаб3, на одну меньше делать») — поэтому они выполнены как единая работа </w:t>
      </w:r>
      <w:r>
        <w:rPr>
          <w:rFonts w:ascii="Consolas" w:cs="Consolas" w:eastAsia="Consolas" w:hAnsi="Consolas"/>
        </w:rPr>
        <w:t xml:space="preserve">lab2-3-market-size</w:t>
      </w:r>
      <w:r>
        <w:t xml:space="preserve">.</w:t>
      </w:r>
    </w:p>
    <w:p>
      <w:pPr>
        <w:pStyle w:val="Heading1"/>
        <w:spacing w:after="120" w:before="240"/>
      </w:pPr>
      <w:r>
        <w:t xml:space="preserve">1. ЛР1 — Аргументация спроса (теория и практика)</w:t>
      </w:r>
    </w:p>
    <w:p>
      <w:pPr>
        <w:spacing w:after="120"/>
      </w:pPr>
      <w:r>
        <w:rPr>
          <w:b/>
          <w:bCs/>
        </w:rPr>
        <w:t xml:space="preserve">Теория методики</w:t>
      </w:r>
      <w:r>
        <w:t xml:space="preserve">: Google Trends показывает не число запросов, а относительный индекс интереса 0–100 — насколько тема «горячая» по сравнению с собой же в другое время. Яндекс Вордстат показывает частотность запросов к самому Яндексу. Ключевое методическое правило — не путать три разных явления: </w:t>
      </w:r>
      <w:r>
        <w:rPr>
          <w:b/>
          <w:bCs/>
        </w:rPr>
        <w:t xml:space="preserve">тренд</w:t>
      </w:r>
      <w:r>
        <w:t xml:space="preserve"> (устойчивое многолетнее направление), </w:t>
      </w:r>
      <w:r>
        <w:rPr>
          <w:b/>
          <w:bCs/>
        </w:rPr>
        <w:t xml:space="preserve">сезонность</w:t>
      </w:r>
      <w:r>
        <w:t xml:space="preserve"> (повторяющиеся годовые колебания) и </w:t>
      </w:r>
      <w:r>
        <w:rPr>
          <w:b/>
          <w:bCs/>
        </w:rPr>
        <w:t xml:space="preserve">разовый всплеск</w:t>
      </w:r>
      <w:r>
        <w:t xml:space="preserve"> (новость/реклама, проходит через месяц).</w:t>
      </w:r>
    </w:p>
    <w:p>
      <w:pPr>
        <w:spacing w:after="120"/>
      </w:pPr>
      <w:r>
        <w:rPr>
          <w:b/>
          <w:bCs/>
        </w:rPr>
        <w:t xml:space="preserve">Что сделано на практике</w:t>
      </w:r>
      <w:r>
        <w:t xml:space="preserve">: построено семантическое ядро из 7 групп запросов (общие, категорийные, коммерческие, проблемные, инструментальные, региональные, исключаемые) под конкретную идею DiagramCode. Затем через браузер напрямую сняты реальные данные Google Trends (не выдуманы): - Категория-лидер </w:t>
      </w:r>
      <w:r>
        <w:rPr>
          <w:rFonts w:ascii="Consolas" w:cs="Consolas" w:eastAsia="Consolas" w:hAnsi="Consolas"/>
        </w:rPr>
        <w:t xml:space="preserve">PlantUML</w:t>
      </w:r>
      <w:r>
        <w:t xml:space="preserve"> (ближайший функциональный аналог) показывает рост индекса интереса с 16 до 53 пунктов за период с 19.09.2021 по 08.12.2024 — точный расчёт даёт рост ≈231%. - Термин </w:t>
      </w:r>
      <w:r>
        <w:rPr>
          <w:rFonts w:ascii="Consolas" w:cs="Consolas" w:eastAsia="Consolas" w:hAnsi="Consolas"/>
        </w:rPr>
        <w:t xml:space="preserve">text to diagram</w:t>
      </w:r>
      <w:r>
        <w:t xml:space="preserve"> показывает структурный сдвиг с середины 2025 года — не сезонность и не разовый всплеск (держится больше года), а новый устойчивый уровень тренда, подтверждённый отдельным растущим связанным запросом </w:t>
      </w:r>
      <w:r>
        <w:rPr>
          <w:rFonts w:ascii="Consolas" w:cs="Consolas" w:eastAsia="Consolas" w:hAnsi="Consolas"/>
        </w:rPr>
        <w:t xml:space="preserve">text to diagram ai</w:t>
      </w:r>
      <w:r>
        <w:t xml:space="preserve"> со статусом </w:t>
      </w:r>
      <w:r>
        <w:rPr>
          <w:b/>
          <w:bCs/>
        </w:rPr>
        <w:t xml:space="preserve">Breakout</w:t>
      </w:r>
      <w:r>
        <w:t xml:space="preserve"> (рост более чем на 5000% — это сам Google Trends присваивает такой статус только самым быстрорастущим запросам). - Региональный разрез: </w:t>
      </w:r>
      <w:r>
        <w:rPr>
          <w:b/>
          <w:bCs/>
        </w:rPr>
        <w:t xml:space="preserve">Беларусь занимает 5-е место в мире по интересу к PlantUML</w:t>
      </w:r>
      <w:r>
        <w:t xml:space="preserve">, Россия — 4-е. Это прямое, измеримое подтверждение выбора стартовой географии (Беларусь + СНГ), а не просто удобное предположение. - Обнаружена реальная сезонность: устойчивый спад интереса в последнюю неделю декабря — повторяется 3 года подряд (2021: −53% от среднего, 2022: −38%, 2023: −41%) — правдоподобная причина: конец года, отпуска разработчиков.</w:t>
      </w:r>
    </w:p>
    <w:p>
      <w:pPr>
        <w:spacing w:after="120"/>
      </w:pPr>
      <w:r>
        <w:t xml:space="preserve">Яндекс Вордстат не снят — сервис требует личного входа в Яндекс ID, которого у меня как ассистента нет и не может быть (это ваш логин). Честно отмечено как ограничение, с точной инструкцией, что и как снять самой (см. </w:t>
      </w:r>
      <w:r>
        <w:rPr>
          <w:rFonts w:ascii="Consolas" w:cs="Consolas" w:eastAsia="Consolas" w:hAnsi="Consolas"/>
        </w:rPr>
        <w:t xml:space="preserve">ЧТО_ДОСНЯТЬ_САМОЙ.md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Итог</w:t>
      </w:r>
      <w:r>
        <w:t xml:space="preserve">: оценочная матрица перспективности идеи (6 критериев по 0–3 балла) даёт 14 из 18 — это полоса «принять идею, но сузить позиционирование», а не безусловное «да».</w:t>
      </w:r>
    </w:p>
    <w:p>
      <w:pPr>
        <w:pStyle w:val="Heading1"/>
        <w:spacing w:after="120" w:before="240"/>
      </w:pPr>
      <w:r>
        <w:t xml:space="preserve">2. ЛР2-3 — Границы и размер рынка (теория и практика)</w:t>
      </w:r>
    </w:p>
    <w:p>
      <w:pPr>
        <w:spacing w:after="120"/>
      </w:pPr>
      <w:r>
        <w:rPr>
          <w:b/>
          <w:bCs/>
        </w:rPr>
        <w:t xml:space="preserve">Теория методики</w:t>
      </w:r>
      <w:r>
        <w:t xml:space="preserve">: объём рынка нельзя посчитать одним числом — методика требует считать минимум двумя независимыми способами («сверху вниз» — от большого внешнего показателя, сужая долями; «снизу вверх» — от количества реальных клиентов) и сводить в диапазон TAM (потолок) / SAM (обслуживаемый рынок) / SOM (достижимо в первый год), а не выдавать один «точный» прогноз.</w:t>
      </w:r>
    </w:p>
    <w:p>
      <w:pPr>
        <w:spacing w:after="120"/>
      </w:pPr>
      <w:r>
        <w:rPr>
          <w:b/>
          <w:bCs/>
        </w:rPr>
        <w:t xml:space="preserve">Что сделано на практике</w:t>
      </w:r>
      <w:r>
        <w:t xml:space="preserve">:  - Реальные данные SimilarWeb (бесплатный доступ, снято 17.09.2026): </w:t>
      </w:r>
      <w:r>
        <w:rPr>
          <w:rFonts w:ascii="Consolas" w:cs="Consolas" w:eastAsia="Consolas" w:hAnsi="Consolas"/>
        </w:rPr>
        <w:t xml:space="preserve">plantuml.com</w:t>
      </w:r>
      <w:r>
        <w:t xml:space="preserve"> — ≈507 тыс. визитов, Россия — топ-страна трафика (9,07%); </w:t>
      </w:r>
      <w:r>
        <w:rPr>
          <w:rFonts w:ascii="Consolas" w:cs="Consolas" w:eastAsia="Consolas" w:hAnsi="Consolas"/>
        </w:rPr>
        <w:t xml:space="preserve">mermaidchart.com</w:t>
      </w:r>
      <w:r>
        <w:t xml:space="preserve"> (коммерческий продукт Mermaid) — менее 20 тыс. визитов, представлен в основном во Вьетнаме/Индонезии/США, а не в СНГ — то есть конкурент с деньгами почти не занял регион старта DiagramCode. На третьей доработке (2026-09-23) довыгружены и оставшиеся 2 домена самостоятельно (без её логина, другая сессия — лимит бесплатного тарифа не был исчерпан): </w:t>
      </w:r>
      <w:r>
        <w:rPr>
          <w:rFonts w:ascii="Consolas" w:cs="Consolas" w:eastAsia="Consolas" w:hAnsi="Consolas"/>
        </w:rPr>
        <w:t xml:space="preserve">eraser.io</w:t>
      </w:r>
      <w:r>
        <w:t xml:space="preserve"> — 678,5 тыс. визитов, Индия — топ-страна (40,81%); </w:t>
      </w:r>
      <w:r>
        <w:rPr>
          <w:rFonts w:ascii="Consolas" w:cs="Consolas" w:eastAsia="Consolas" w:hAnsi="Consolas"/>
        </w:rPr>
        <w:t xml:space="preserve">app.diagrams.net</w:t>
      </w:r>
      <w:r>
        <w:t xml:space="preserve"> — 7,8 млн визитов, США — топ-страна (10,89%). Это закрыло не только пробел в ЛР2-3, но и позволило впервые посчитать CR-4 (индекс концентрации трафика) в ЛР4. - Реальная статистика: более 1000 компаний зарегистрировано в Парке высоких технологий Беларуси, доля IT в ВВП Беларуси — 6,1% (I кв. 2025), ВВП Беларуси 2024 года — $78,59 млрд (Macrotrends). - Расчёт «сверху вниз» построен от ВВП/оборота ИТ-сектора Беларуси (не задваивает расчёт через клиентов) → потолок рынка (TAM) = $479 399/год. - Расчёт «снизу вверх» через количество потенциальных клиентов-компаний ПВТ → обслуживаемый рынок (SAM) = $28 800/год. - Сценарии: осторожный (SOM, достижимо в 1-й год) ≈$9 600/год, оптимистичный (расширение на СНГ) ≈$336 000/год. - Реальный ценовой бенчмарк — тарифы конкурента Eraser.io (Free $0 → Starter $15-20 → Business $45-60 за место/мес) — использован как ориентир, а не выдуман.</w:t>
      </w:r>
    </w:p>
    <w:p>
      <w:pPr>
        <w:spacing w:after="120"/>
      </w:pPr>
      <w:r>
        <w:rPr>
          <w:b/>
          <w:bCs/>
        </w:rPr>
        <w:t xml:space="preserve">Почему именно так</w:t>
      </w:r>
      <w:r>
        <w:t xml:space="preserve">: разрыв между TAM ($479К) и SAM ($22-29К) почти в 20 раз — это ожидаемо для top-down-потолка (сам метод почти всегда завышает результат), а не ошибка; в отчёте это явно объяснено, а не скрыто.</w:t>
      </w:r>
    </w:p>
    <w:p>
      <w:pPr>
        <w:pStyle w:val="Heading1"/>
        <w:spacing w:after="120" w:before="240"/>
      </w:pPr>
      <w:r>
        <w:t xml:space="preserve">3. ЛР4 — Пять сил Портера (теория и практика)</w:t>
      </w:r>
    </w:p>
    <w:p>
      <w:pPr>
        <w:spacing w:after="120"/>
      </w:pPr>
      <w:r>
        <w:rPr>
          <w:b/>
          <w:bCs/>
        </w:rPr>
        <w:t xml:space="preserve">Теория методики</w:t>
      </w:r>
      <w:r>
        <w:t xml:space="preserve">: классические 5 сил Портера (конкуренция игроков, угроза новых участников, сила покупателей, сила поставщиков, угроза заменителей) в версии курса дополнены цифровыми факторами (сетевые эффекты, данные, алгоритмическая видимость, платформенная зависимость) — оценка по строго дискретной шкале 1/3/5 (низкое/среднее/высокое), без промежуточных значений.</w:t>
      </w:r>
    </w:p>
    <w:p>
      <w:pPr>
        <w:spacing w:after="120"/>
      </w:pPr>
      <w:r>
        <w:rPr>
          <w:b/>
          <w:bCs/>
        </w:rPr>
        <w:t xml:space="preserve">Что сделано на практике</w:t>
      </w:r>
      <w:r>
        <w:t xml:space="preserve">: каждая сила оценена с опорой на факты из ЛР1/ЛР2-3/ЛР5 (не абстрактно): например, «сила поставщиков» оценена как средняя (не высокая), потому что в архитектуре DiagramCode AI-провайдер уже спроектирован как сменный компонент (Strategy-паттерн), что реально снижает зависимость от одного поставщика LLM. Отдельно применена вторая методика — оценка барьеров конкуренции через SimilarWeb (своя шкала 1,0-5,0, 8 критериев) — изначально дала 3,43 балла на 7 из 8 критериев (концентрация не считалась — данных SimilarWeb хватало только на 2 домена). На третьей доработке довыгружены данные SimilarWeb по eraser.io и app.diagrams.net (реальные цифры трафика сняты напрямую с сайта similarweb.com, 2026-09-23) — заполнен последний критерий (CR-4 = 99,99% по 4 измеренным доменам, с честной оговоркой, что это не полноценный CR3/CR5 по всей категории), среднее пересчитано на все 8 критериев = </w:t>
      </w:r>
      <w:r>
        <w:rPr>
          <w:b/>
          <w:bCs/>
        </w:rPr>
        <w:t xml:space="preserve">3,5</w:t>
      </w:r>
      <w:r>
        <w:t xml:space="preserve"> (тот же итоговый вывод — высокий уровень барьеров, — но теперь без пропущенного критерия).</w:t>
      </w:r>
    </w:p>
    <w:p>
      <w:pPr>
        <w:spacing w:after="120"/>
      </w:pPr>
      <w:r>
        <w:rPr>
          <w:b/>
          <w:bCs/>
        </w:rPr>
        <w:t xml:space="preserve">Итог</w:t>
      </w:r>
      <w:r>
        <w:t xml:space="preserve">: среднее значение сил — 4,33 из 5 (высокое конкурентное давление), но не из-за числа конкурентов, а из-за лёгкости, с которой разработчики сравнивают инструменты и уходят к бесплатным PlantUML/Mermaid.</w:t>
      </w:r>
    </w:p>
    <w:p>
      <w:pPr>
        <w:pStyle w:val="Heading1"/>
        <w:spacing w:after="120" w:before="240"/>
      </w:pPr>
      <w:r>
        <w:t xml:space="preserve">4. ЛР5 — Анализ конкурентов (теория и практика)</w:t>
      </w:r>
    </w:p>
    <w:p>
      <w:pPr>
        <w:spacing w:after="120"/>
      </w:pPr>
      <w:r>
        <w:rPr>
          <w:b/>
          <w:bCs/>
        </w:rPr>
        <w:t xml:space="preserve">Теория методики</w:t>
      </w:r>
      <w:r>
        <w:t xml:space="preserve">: конкурентов нельзя просто перечислить — нужно классифицировать по 7 уровням близости (прямой/близкий/косвенный/заменитель/потенциальный/для наблюдения/исключённый) через взвешенную формулу (8 критериев, шкала 0-4, пороги 80-100/65-79/50-64/35-49/20-34/0-19), а сам цифровой товар конкурентов разбирать через модель Левитта (5 уровней товара: от базовой выгоды до потенциального) и модель Кано (6 категорий требований клиента: обязательные, линейные, привлекательные, безразличные и т.д.).</w:t>
      </w:r>
    </w:p>
    <w:p>
      <w:pPr>
        <w:spacing w:after="120"/>
      </w:pPr>
      <w:r>
        <w:rPr>
          <w:b/>
          <w:bCs/>
        </w:rPr>
        <w:t xml:space="preserve">Что сделано на практике</w:t>
      </w:r>
      <w:r>
        <w:t xml:space="preserve">:  - Реальная 8-критериальная формула применена к 9 конкурентам с реальными фактами с их сайтов (например, дословная цитата с plantuml.com — «No server. No tokens. No tracking»). Формула честно развела очень похожие на первый взгляд визуальные редакторы: draw.io (67,5 — близкий), Lucidchart (63,5 — косвенный), Microsoft Visio (49,5 — заменитель) — раньше они ошибочно считались одним и тем же. - Реконструкция бизнес-модели («паспорт») сделана для 5 из 9 конкурентов: PlantUML, Eraser.io, Mermaid/MermaidChart, а также </w:t>
      </w:r>
      <w:r>
        <w:rPr>
          <w:b/>
          <w:bCs/>
        </w:rPr>
        <w:t xml:space="preserve">D2 и draw.io/diagrams.net</w:t>
      </w:r>
      <w:r>
        <w:t xml:space="preserve"> (добавлены на третьей доработке — данные сняты напрямую с d2lang.com и drawio.com, 2026-09-23, с дословными цитатами вроде «No account required. No credit card» у draw.io и «fiscally sponsored by Hack Club» у D2). Остальные 4 (Lucidchart, Visio, AI-ассистенты) без полного паспорта — младшие по индексу конкуренты, отмечено как MINOR-пробел, не блокирующий сдачу. - Модель Левитта применена к двум ключевым конкурентам (PlantUML, Eraser.io) и самому DiagramCode — показала, что у прямых конкурентов «расширенный товар» — это глубина экосистемы (плагины/интеграции), а не охват нотаций, то есть DiagramCode может занять именно это измерение. - Модель Кано применена к 10 ключевым функциям — показала, что «AI-генерация» смещается из категории «восхищает» в категорию «ожидается по умолчанию» (по мере роста рынка, см. ЛР1), а «полный охват нотаций» пока остаётся в категории «восхищает» — то есть настоящий источник дифференциации.</w:t>
      </w:r>
    </w:p>
    <w:p>
      <w:pPr>
        <w:spacing w:after="120"/>
      </w:pPr>
      <w:r>
        <w:rPr>
          <w:b/>
          <w:bCs/>
        </w:rPr>
        <w:t xml:space="preserve">Итог</w:t>
      </w:r>
      <w:r>
        <w:t xml:space="preserve">: ни один прямой конкурент не закрывает полный набор инженерных нотаций в одном продукте — это главный, фактически подтверждённый вывод всего анализа конкурентов.</w:t>
      </w:r>
    </w:p>
    <w:p>
      <w:pPr>
        <w:pStyle w:val="Heading1"/>
        <w:spacing w:after="120" w:before="240"/>
      </w:pPr>
      <w:r>
        <w:t xml:space="preserve">5. ЛР6 — Ценностное предложение, бизнес-модель, релизы (теория и практика)</w:t>
      </w:r>
    </w:p>
    <w:p>
      <w:pPr>
        <w:spacing w:after="120"/>
      </w:pPr>
      <w:r>
        <w:rPr>
          <w:b/>
          <w:bCs/>
        </w:rPr>
        <w:t xml:space="preserve">Теория методики</w:t>
      </w:r>
      <w:r>
        <w:t xml:space="preserve">: ценностное предложение собирается по 5-уровневой модели цифрового товара (ядро пользы → базовый → ожидаемый → расширенный → потенциальный), бизнес-модель — по 9-блочному Канвасу Остервальдера с обязательной проверкой связности блоков друг с другом, пользовательские сценарии должны закрывать порядка 9 разных семейств (не только «получение ценности», но и монетизацию, удержание, восстановление после ошибки и т.д.), а деление на релизы подчиняется правилу «первый релиз должен быть минимально достаточным, а не максимально полным».</w:t>
      </w:r>
    </w:p>
    <w:p>
      <w:pPr>
        <w:spacing w:after="120"/>
      </w:pPr>
      <w:r>
        <w:rPr>
          <w:b/>
          <w:bCs/>
        </w:rPr>
        <w:t xml:space="preserve">Что сделано на практике</w:t>
      </w:r>
      <w:r>
        <w:t xml:space="preserve">: все 9 блоков Канваса заполнены реальными архитектурными фактами продукта (конкретные модули: </w:t>
      </w:r>
      <w:r>
        <w:rPr>
          <w:rFonts w:ascii="Consolas" w:cs="Consolas" w:eastAsia="Consolas" w:hAnsi="Consolas"/>
        </w:rPr>
        <w:t xml:space="preserve">NotationProfile</w:t>
      </w:r>
      <w:r>
        <w:t xml:space="preserve">, </w:t>
      </w:r>
      <w:r>
        <w:rPr>
          <w:rFonts w:ascii="Consolas" w:cs="Consolas" w:eastAsia="Consolas" w:hAnsi="Consolas"/>
        </w:rPr>
        <w:t xml:space="preserve">AIProvider</w:t>
      </w:r>
      <w:r>
        <w:t xml:space="preserve">, </w:t>
      </w:r>
      <w:r>
        <w:rPr>
          <w:rFonts w:ascii="Consolas" w:cs="Consolas" w:eastAsia="Consolas" w:hAnsi="Consolas"/>
        </w:rPr>
        <w:t xml:space="preserve">grammar.lark</w:t>
      </w:r>
      <w:r>
        <w:t xml:space="preserve">), а не общими фразами. Поток доходов явно привязан цифрой ($8/участник/мес ≈ $480/год) к расчёту из ЛР2-3 — без этого блок оставался бы пустой декларацией. Добавлено 5 новых сценариев сверх изначального «получения ценности»: посетитель сравнивает с конкурентами до регистрации (discovery), </w:t>
      </w:r>
      <w:r>
        <w:rPr>
          <w:b/>
          <w:bCs/>
        </w:rPr>
        <w:t xml:space="preserve">первый запуск после регистрации</w:t>
      </w:r>
      <w:r>
        <w:t xml:space="preserve"> (онбординг/активация — использует уже спроектированное состояние интерфейса «Начальное» и панель шаблонов, добавлено на третьей доработке), переход на платный тариф после исчерпания AI-квоты (монетизация, с полным 14-польным «паспортом сценария»), регулярный возврат к сохранённым диаграммам (удержание), диагностика и AI-исправление ошибки (восстановление после сбоя). Матрица «сценарий → экран» вскрыла реально недостающий экран — тарифы/оплата — без него точка монетизации из Канваса физически нереализуема; экран добавлен в состав первого релиза. Деление на 4 релиза совпадает с уже принятой архитектурой волн реализации нотаций в реальном продукте — не изобретено заново для лабы. </w:t>
      </w:r>
      <w:r>
        <w:rPr>
          <w:b/>
          <w:bCs/>
        </w:rPr>
        <w:t xml:space="preserve">Честно не закрыто</w:t>
      </w:r>
      <w:r>
        <w:t xml:space="preserve">: административные и партнёрские сценарии — в продукте нет партнёрской программы и нет отдельной от владельца роли администратора, поэтому эти два из девяти семейств методики намеренно оставлены незаполненными, а не придуманы.</w:t>
      </w:r>
    </w:p>
    <w:p>
      <w:pPr>
        <w:pStyle w:val="Heading1"/>
        <w:spacing w:after="120" w:before="240"/>
      </w:pPr>
      <w:r>
        <w:t xml:space="preserve">6. ЛР7 — Итоговый отчёт и решение (теория и практика)</w:t>
      </w:r>
    </w:p>
    <w:p>
      <w:pPr>
        <w:spacing w:after="120"/>
      </w:pPr>
      <w:r>
        <w:rPr>
          <w:b/>
          <w:bCs/>
        </w:rPr>
        <w:t xml:space="preserve">Теория методики</w:t>
      </w:r>
      <w:r>
        <w:t xml:space="preserve">: итоговый отчёт — не пересказ шести предыдущих лабораторных, а их синтез в 13 разделов (плюс паспорт отчёта и 5 приложений), с итоговым управленческим решением на основе 8 критериев проверки (проблема/спрос/рынок/конкурентный пробел/ценность/монетизация/первый релиз/барьеры).</w:t>
      </w:r>
    </w:p>
    <w:p>
      <w:pPr>
        <w:spacing w:after="120"/>
      </w:pPr>
      <w:r>
        <w:rPr>
          <w:b/>
          <w:bCs/>
        </w:rPr>
        <w:t xml:space="preserve">Что сделано на практике</w:t>
      </w:r>
      <w:r>
        <w:t xml:space="preserve">: собран сводный отчёт со всеми 13 разделами плюс паспортом и 5 приложениями (карта доказательств, чек-лист полноты, минимальное ТЗ, заключение, ссылка на отдельный краткий инвесторский документ), оформленный по официальному титульному листу БГУИР (по образцу реально принятых отчётов по другим дисциплинам этой же группы — 320604). Отдельно оформлен требуемый краткий инвесторский документ по отдельному шаблону курса (раньше пересказывался внутри общего отчёта, а не существовал как отдельный файл).</w:t>
      </w:r>
    </w:p>
    <w:p>
      <w:pPr>
        <w:spacing w:after="120"/>
      </w:pPr>
      <w:r>
        <w:rPr>
          <w:b/>
          <w:bCs/>
        </w:rPr>
        <w:t xml:space="preserve">Итоговое решение</w:t>
      </w:r>
      <w:r>
        <w:t xml:space="preserve">: </w:t>
      </w:r>
      <w:r>
        <w:rPr>
          <w:b/>
          <w:bCs/>
        </w:rPr>
        <w:t xml:space="preserve">стартовать ограниченно</w:t>
      </w:r>
      <w:r>
        <w:t xml:space="preserve"> (не безусловный «зелёный свет») — потому что оценочная матрица ЛР1 даёт 14 из 18, а достижимый в первый год объём рынка (SOM) находится на нижней границе достаточности, а не с запасом. Все рыночные цифры явно помечены как допущения, требующие проверки прямым опросом клиентов и тестовыми продажами — это не формальность, а честное отражение того, что кабинетный анализ (даже на реальных данных) не заменяет реальную проверку на живых клиентах.</w:t>
      </w:r>
    </w:p>
    <w:p>
      <w:pPr>
        <w:pStyle w:val="Heading1"/>
        <w:spacing w:after="120" w:before="240"/>
      </w:pPr>
      <w:r>
        <w:t xml:space="preserve">7. Отдельный этап: проверка советом (что и почему исправлено)</w:t>
      </w:r>
    </w:p>
    <w:p>
      <w:pPr>
        <w:spacing w:after="120"/>
      </w:pPr>
      <w:r>
        <w:t xml:space="preserve">После первого прохода по всем лабораторным был запущен «консиллиум» — три независимых агента (один искал сильные стороны, один целенаправленно искал слабые места как строгий проверяющий, один механически сверял каждый пункт методичек построчно) прочитали настоящие методички и настоящие результаты и независимо друг от друга проверили соответствие. Найденные и исправленные проблемы: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Арифметика</w:t>
      </w:r>
      <w:r>
        <w:t xml:space="preserve"> в ЛР2-3: два сценария не сходились с собственными же допущениями (расхождение до 2,2 раза) — пересчитаны.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Нарушение шкалы</w:t>
      </w:r>
      <w:r>
        <w:t xml:space="preserve"> в ЛР4: использовались значения вне разрешённой методикой шкалы (1/3/5) — исправлено, плюс добавлена вторая методика (SimilarWeb-скоринг барьеров), которая раньше вообще не применялась.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Полностью отсутствовавшие обязательные модели</w:t>
      </w:r>
      <w:r>
        <w:t xml:space="preserve"> в ЛР5: модели Левитта и Кано (прямо названные в шаблоне лабораторной) не применялись вовсе — применены.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Несогласованность между лабами</w:t>
      </w:r>
      <w:r>
        <w:t xml:space="preserve"> в ЛР6: доход в бизнес-модели не был привязан цифрой к расчёту рынка — привязан; сценарии закрывали только одно из девяти нужных направлений — добавлено четыре.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Формальное несоответствие структуре</w:t>
      </w:r>
      <w:r>
        <w:t xml:space="preserve"> в ЛР7: не хватало паспорта отчёта, приложений и отдельного краткого резюме — добавлены; внутреннее противоречие (один конкурент назван и «прямым», и «близким» в одном абзаце) — устранено.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Незафиксированная региональная гипотеза</w:t>
      </w:r>
      <w:r>
        <w:t xml:space="preserve"> в ЛР1: выбор географии (Беларусь/СНГ) был заявлен без единой подтверждающей цифры — теперь подтверждён (или, для AI-сегмента, честно скорректирован) реальными данными по регионам.</w:t>
      </w:r>
    </w:p>
    <w:p>
      <w:pPr>
        <w:spacing w:after="120"/>
      </w:pPr>
      <w:r>
        <w:t xml:space="preserve">Все правки закоммичены в репозиторий отдельными коммитами с описанием, что именно и почему изменено — историю изменений можно посмотреть в </w:t>
      </w:r>
      <w:r>
        <w:rPr>
          <w:rFonts w:ascii="Consolas" w:cs="Consolas" w:eastAsia="Consolas" w:hAnsi="Consolas"/>
        </w:rPr>
        <w:t xml:space="preserve">git log</w:t>
      </w:r>
      <w:r>
        <w:t xml:space="preserve"> репозитория.</w:t>
      </w:r>
    </w:p>
    <w:p>
      <w:pPr>
        <w:pStyle w:val="Heading1"/>
        <w:spacing w:after="120" w:before="240"/>
      </w:pPr>
      <w:r>
        <w:t xml:space="preserve">8. Что осталось несделанным</w:t>
      </w:r>
    </w:p>
    <w:p>
      <w:pPr>
        <w:spacing w:after="120"/>
      </w:pPr>
      <w:r>
        <w:t xml:space="preserve">*(Исправлено — этот раздел был устаревшим: ниже описано фактическое состояние на данный момент, после отдельного захода на Excel/Google Таблицы.)*</w:t>
      </w:r>
    </w:p>
    <w:p>
      <w:pPr>
        <w:spacing w:after="120"/>
      </w:pPr>
      <w:r>
        <w:t xml:space="preserve">Реальные </w:t>
      </w:r>
      <w:r>
        <w:rPr>
          <w:rFonts w:ascii="Consolas" w:cs="Consolas" w:eastAsia="Consolas" w:hAnsi="Consolas"/>
        </w:rPr>
        <w:t xml:space="preserve">.xlsx</w:t>
      </w:r>
      <w:r>
        <w:t xml:space="preserve">-файлы с живыми формулами сделаны для ЛР1 (105 формул — тренд/сезонность), ЛР4 (3 формулы — AVERAGE по силам Портера и барьерам) и ЛР5 (23 формулы — SUMPRODUCT/IF классификации конкурентов); те же расчёты продублированы в Google Таблице через Apps Script. Для ЛР6 Excel-файл — не расчётный, а структурированный свод содержания (Канвас/сценарии/страницы/релизы как текстовые таблицы) без формул — там и в оригинальной методике нечего вычислять, все пять листов ЛР6 по своей природе описательные, а не калькуляторы. Полное побайтовое совпадение с оригинальными многолистовыми шаблонами курса (со всеми дашбордами и банками анализа) не сделано — если нужна именно такая точная структура, скажите отдельно.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2026-09-23T06:49:18.918Z</dcterms:created>
  <dcterms:modified xsi:type="dcterms:W3CDTF">2026-09-23T06:49:18.919Z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