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Что осталось доснять/решить самой</w:t>
      </w:r>
    </w:p>
    <w:p>
      <w:pPr>
        <w:spacing w:after="120"/>
      </w:pPr>
      <w:r>
        <w:t xml:space="preserve">Сводный список по всему проекту DiagramCode («Электронный бизнес»). Каждый пункт — то, что не может быть сделано без вашего личного доступа, аккаунта или решения. Всё остальное уже сделано и лежит в </w:t>
      </w:r>
      <w:r>
        <w:rPr>
          <w:rFonts w:ascii="Consolas" w:cs="Consolas" w:eastAsia="Consolas" w:hAnsi="Consolas"/>
        </w:rPr>
        <w:t xml:space="preserve">labs/</w:t>
      </w:r>
      <w:r>
        <w:t xml:space="preserve">.</w:t>
      </w:r>
    </w:p>
    <w:p>
      <w:pPr>
        <w:pStyle w:val="Heading1"/>
        <w:spacing w:after="120" w:before="240"/>
      </w:pPr>
      <w:r>
        <w:t xml:space="preserve">1. Скриншоты и данные, требующие вашего логина</w:t>
      </w:r>
    </w:p>
    <w:p>
      <w:pPr>
        <w:pStyle w:val="Heading2"/>
        <w:spacing w:after="100" w:before="200"/>
      </w:pPr>
      <w:r>
        <w:t xml:space="preserve">1.1. Яндекс Вордстат (ЛР1)</w:t>
      </w:r>
    </w:p>
    <w:p>
      <w:pPr>
        <w:spacing w:after="120"/>
      </w:pPr>
      <w:r>
        <w:t xml:space="preserve">Сервис теперь требует входа в Яндекс ID даже для базовой частотности запросов.</w:t>
      </w:r>
    </w:p>
    <w:p>
      <w:pPr>
        <w:spacing w:after="120"/>
      </w:pPr>
      <w:r>
        <w:rPr>
          <w:b/>
          <w:bCs/>
        </w:rPr>
        <w:t xml:space="preserve">Как снять</w:t>
      </w:r>
      <w:r>
        <w:t xml:space="preserve">: 1. Открыть [wordstat.yandex.com](https://wordstat.yandex.com), войти под своим Яндекс ID. 2. Ввести запрос из семантического ядра (минимум 4: «диаграмма как код», «UML генератор онлайн», «ERD онлайн конструктор», «AI генератор диаграмм»), регион — Беларусь. 3. Скриншот таблицы: «Показов в месяц», «Похожие запросы», «История запросов». 4. Сохранить в </w:t>
      </w:r>
      <w:r>
        <w:rPr>
          <w:rFonts w:ascii="Consolas" w:cs="Consolas" w:eastAsia="Consolas" w:hAnsi="Consolas"/>
        </w:rPr>
        <w:t xml:space="preserve">labs/lab1-demand/screenshots/wordstat_&lt;запрос&gt;.png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Подпись</w:t>
      </w:r>
      <w:r>
        <w:t xml:space="preserve">: «Рисунок 3.N — Частотность запроса «…» в Яндекс Вордстат (регион: Беларусь, дата снятия: …)».</w:t>
      </w:r>
    </w:p>
    <w:p>
      <w:pPr>
        <w:pStyle w:val="Heading2"/>
        <w:spacing w:after="100" w:before="200"/>
      </w:pPr>
      <w:r>
        <w:t xml:space="preserve">1.2. SimilarWeb — 2 недостающих домена (ЛР2-3, ЛР4)</w:t>
      </w:r>
    </w:p>
    <w:p>
      <w:pPr>
        <w:spacing w:after="120"/>
      </w:pPr>
      <w:r>
        <w:t xml:space="preserve">Бесплатный лимит SimilarWeb исчерпался после 2 доменов (plantuml.com, mermaidchart.com получены).</w:t>
      </w:r>
    </w:p>
    <w:p>
      <w:pPr>
        <w:spacing w:after="120"/>
      </w:pPr>
      <w:r>
        <w:rPr>
          <w:b/>
          <w:bCs/>
        </w:rPr>
        <w:t xml:space="preserve">Как снять</w:t>
      </w:r>
      <w:r>
        <w:t xml:space="preserve">: 1. Открыть [similarweb.com/website/eraser.io](https://www.similarweb.com/website/eraser.io/) с другого браузера/устройства или на следующий день (лимит обновляется по IP/аккаунту). 2. Скриншот блоков Total Visits, Global Rank, Top Countries. 3. Повторить для </w:t>
      </w:r>
      <w:r>
        <w:rPr>
          <w:rFonts w:ascii="Consolas" w:cs="Consolas" w:eastAsia="Consolas" w:hAnsi="Consolas"/>
        </w:rPr>
        <w:t xml:space="preserve">app.diagrams.net</w:t>
      </w:r>
      <w:r>
        <w:t xml:space="preserve">. 4. Сохранить в </w:t>
      </w:r>
      <w:r>
        <w:rPr>
          <w:rFonts w:ascii="Consolas" w:cs="Consolas" w:eastAsia="Consolas" w:hAnsi="Consolas"/>
        </w:rPr>
        <w:t xml:space="preserve">labs/lab2-3-market-size/screenshots/similarweb_eraser.png</w:t>
      </w:r>
      <w:r>
        <w:t xml:space="preserve"> и </w:t>
      </w:r>
      <w:r>
        <w:rPr>
          <w:rFonts w:ascii="Consolas" w:cs="Consolas" w:eastAsia="Consolas" w:hAnsi="Consolas"/>
        </w:rPr>
        <w:t xml:space="preserve">similarweb_drawio.png</w:t>
      </w:r>
      <w:r>
        <w:t xml:space="preserve">.</w:t>
      </w:r>
    </w:p>
    <w:p>
      <w:pPr>
        <w:spacing w:after="120"/>
      </w:pPr>
      <w:r>
        <w:t xml:space="preserve">Это же закрыло бы честно отмеченный пробел в ЛР4 (индекс концентрации CR3/CR5 сейчас не считается именно из-за нехватки этих двух доменов).</w:t>
      </w:r>
    </w:p>
    <w:p>
      <w:pPr>
        <w:pStyle w:val="Heading1"/>
        <w:spacing w:after="120" w:before="240"/>
      </w:pPr>
      <w:r>
        <w:t xml:space="preserve">2. Решения, которые могу принять только вы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Что решить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Почему нужно ваше решение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Где это влияет</w:t>
            </w:r>
          </w:p>
        </w:tc>
      </w:tr>
      <w:tr>
        <w:tc>
          <w:tcPr>
            <w:tcW w:type="dxa" w:w="3212"/>
          </w:tcPr>
          <w:p>
            <w:r>
              <w:t xml:space="preserve">Реальная цена подписки DiagramCode</w:t>
            </w:r>
          </w:p>
        </w:tc>
        <w:tc>
          <w:tcPr>
            <w:tcW w:type="dxa" w:w="3212"/>
          </w:tcPr>
          <w:p>
            <w:r>
              <w:t xml:space="preserve">Сейчас используется рабочее допущение $8/участник/мес ≈ $480/год (по аналогии с Eraser.io Starter, продешевле для СНГ) — это не решение о прайсинге, а место в расчёте</w:t>
            </w:r>
          </w:p>
        </w:tc>
        <w:tc>
          <w:tcPr>
            <w:tcW w:type="dxa" w:w="3212"/>
          </w:tcPr>
          <w:p>
            <w:r>
              <w:t xml:space="preserve">ЛР2-3, ЛР6 (Канвас), ЛР7 (весь расчёт рынка пересчитается при другой цене)</w:t>
            </w:r>
          </w:p>
        </w:tc>
      </w:tr>
      <w:tr>
        <w:tc>
          <w:tcPr>
            <w:tcW w:type="dxa" w:w="3212"/>
          </w:tcPr>
          <w:p>
            <w:r>
              <w:t xml:space="preserve">ФИО преподавателя по дисциплине «Электронный бизнес»</w:t>
            </w:r>
          </w:p>
        </w:tc>
        <w:tc>
          <w:tcPr>
            <w:tcW w:type="dxa" w:w="3212"/>
          </w:tcPr>
          <w:p>
            <w:r>
              <w:t xml:space="preserve">Не было в присланных методических материалах</w:t>
            </w:r>
          </w:p>
        </w:tc>
        <w:tc>
          <w:tcPr>
            <w:tcW w:type="dxa" w:w="3212"/>
          </w:tcPr>
          <w:p>
            <w:r>
              <w:t xml:space="preserve">Титульный лист </w:t>
            </w:r>
            <w:r>
              <w:rPr>
                <w:rFonts w:ascii="Consolas" w:cs="Consolas" w:eastAsia="Consolas" w:hAnsi="Consolas"/>
              </w:rPr>
              <w:t xml:space="preserve">ОТЧЕТ_по_лабораторным_работам_1-7_Электронный_бизнес.docx</w:t>
            </w:r>
            <w:r>
              <w:t xml:space="preserve"> — сейчас там </w:t>
            </w:r>
            <w:r>
              <w:rPr>
                <w:rFonts w:ascii="Consolas" w:cs="Consolas" w:eastAsia="Consolas" w:hAnsi="Consolas"/>
              </w:rPr>
              <w:t xml:space="preserve">[ФИО преподавателя]</w:t>
            </w:r>
          </w:p>
        </w:tc>
      </w:tr>
      <w:tr>
        <w:tc>
          <w:tcPr>
            <w:tcW w:type="dxa" w:w="3212"/>
          </w:tcPr>
          <w:p>
            <w:r>
              <w:t xml:space="preserve">Сдавать ЛР2 и ЛР3 как одну работу или как две</w:t>
            </w:r>
          </w:p>
        </w:tc>
        <w:tc>
          <w:tcPr>
            <w:tcW w:type="dxa" w:w="3212"/>
          </w:tcPr>
          <w:p>
            <w:r>
              <w:t xml:space="preserve">В методичках задания дословно совпадают, что подтвердили и одногруппницы в переписке («на одну меньше делать») — но финальное решение по регламенту сдачи должно быть от преподавателя/деканата, не от анализа содержания</w:t>
            </w:r>
          </w:p>
        </w:tc>
        <w:tc>
          <w:tcPr>
            <w:tcW w:type="dxa" w:w="3212"/>
          </w:tcPr>
          <w:p>
            <w:r>
              <w:t xml:space="preserve">Формат сдачи</w:t>
            </w:r>
          </w:p>
        </w:tc>
      </w:tr>
      <w:tr>
        <w:tc>
          <w:tcPr>
            <w:tcW w:type="dxa" w:w="3212"/>
          </w:tcPr>
          <w:p>
            <w:r>
              <w:t xml:space="preserve">Подтвердить бизнес-идею как окончательную</w:t>
            </w:r>
          </w:p>
        </w:tc>
        <w:tc>
          <w:tcPr>
            <w:tcW w:type="dxa" w:w="3212"/>
          </w:tcPr>
          <w:p>
            <w:r>
              <w:t xml:space="preserve">Все 7 лабораторных сделаны на примере реального продукта DiagramCode — если для курса нужна другая идея, всё придётся пересчитывать</w:t>
            </w:r>
          </w:p>
        </w:tc>
        <w:tc>
          <w:tcPr>
            <w:tcW w:type="dxa" w:w="3212"/>
          </w:tcPr>
          <w:p>
            <w:r>
              <w:t xml:space="preserve">Весь проект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Проверка допущений через реальных людей (ни один инструмент это не заменит)</w:t>
      </w:r>
    </w:p>
    <w:p>
      <w:pPr>
        <w:spacing w:after="120"/>
      </w:pPr>
      <w:r>
        <w:t xml:space="preserve">Методики прямо требуют это как следующий шаг после кабинетного анализа: - Опрос 5-10 реальных разработчиков/техписателей из ПВТ-компаний: готовы ли они платить именно за охват нотаций, а не за AI как таковой (это ключевая непроверенная гипотеза, см. ЛР5, раздел 7). - Тестовые продажи/лендинг с формой предзаписи — для проверки реальной конверсии вместо предполагаемых 5-20%, заложенных в расчёт рынка.</w:t>
      </w:r>
    </w:p>
    <w:p>
      <w:pPr>
        <w:pStyle w:val="Heading1"/>
        <w:spacing w:after="120" w:before="240"/>
      </w:pPr>
      <w:r>
        <w:t xml:space="preserve">4. Что не было сделано полностью — Excel-шаблоны методик</w:t>
      </w:r>
    </w:p>
    <w:p>
      <w:pPr>
        <w:spacing w:after="120"/>
      </w:pPr>
      <w:r>
        <w:t xml:space="preserve">Часть методичек (особенно ЛР5 — модель Левитта-Кано, ЛР4 — SimilarWeb-скоринг, ЛР6 — 5 шаблонов) прилагает отдельные Excel-файлы с многолистовой структурой (дашборды, банки анализа, паспорта). Все содержательные результаты этих шаблонов перенесены в текстовые отчёты (</w:t>
      </w:r>
      <w:r>
        <w:rPr>
          <w:rFonts w:ascii="Consolas" w:cs="Consolas" w:eastAsia="Consolas" w:hAnsi="Consolas"/>
        </w:rPr>
        <w:t xml:space="preserve">.md</w:t>
      </w:r>
      <w:r>
        <w:t xml:space="preserve">/</w:t>
      </w:r>
      <w:r>
        <w:rPr>
          <w:rFonts w:ascii="Consolas" w:cs="Consolas" w:eastAsia="Consolas" w:hAnsi="Consolas"/>
        </w:rPr>
        <w:t xml:space="preserve">.docx</w:t>
      </w:r>
      <w:r>
        <w:t xml:space="preserve">) с той же логикой и теми же реальными данными — но сами файлы </w:t>
      </w:r>
      <w:r>
        <w:rPr>
          <w:rFonts w:ascii="Consolas" w:cs="Consolas" w:eastAsia="Consolas" w:hAnsi="Consolas"/>
        </w:rPr>
        <w:t xml:space="preserve">.xlsx</w:t>
      </w:r>
      <w:r>
        <w:t xml:space="preserve"> с формулами и многолистовой структурой не воспроизведены один в один по всем листам каждого шаблона (это отдельный большой объём работы сверх текстового анализа). Если для сдачи нужны именно заполненные </w:t>
      </w:r>
      <w:r>
        <w:rPr>
          <w:rFonts w:ascii="Consolas" w:cs="Consolas" w:eastAsia="Consolas" w:hAnsi="Consolas"/>
        </w:rPr>
        <w:t xml:space="preserve">.xlsx</w:t>
      </w:r>
      <w:r>
        <w:t xml:space="preserve">-файлы по каждому листу шаблона — скажите, это можно сделать отдельным приоритетным заходом.</w:t>
      </w:r>
    </w:p>
    <w:p>
      <w:pPr>
        <w:pStyle w:val="Heading1"/>
        <w:spacing w:after="120" w:before="240"/>
      </w:pPr>
      <w:r>
        <w:t xml:space="preserve">5. Общая рекомендация перед сдачей</w:t>
      </w:r>
    </w:p>
    <w:p>
      <w:pPr>
        <w:spacing w:after="120"/>
      </w:pPr>
      <w:r>
        <w:t xml:space="preserve">Прочитать сводный отчёт </w:t>
      </w:r>
      <w:r>
        <w:rPr>
          <w:rFonts w:ascii="Consolas" w:cs="Consolas" w:eastAsia="Consolas" w:hAnsi="Consolas"/>
        </w:rPr>
        <w:t xml:space="preserve">labs/lab7-final-report/ОТЧЕТ_по_лабораторным_работам_1-7_Электронный_бизнес.docx</w:t>
      </w:r>
      <w:r>
        <w:t xml:space="preserve"> и краткое резюме </w:t>
      </w:r>
      <w:r>
        <w:rPr>
          <w:rFonts w:ascii="Consolas" w:cs="Consolas" w:eastAsia="Consolas" w:hAnsi="Consolas"/>
        </w:rPr>
        <w:t xml:space="preserve">КРАТКОЕ_РЕЗЮМЕ_DiagramCode.docx</w:t>
      </w:r>
      <w:r>
        <w:t xml:space="preserve"> целиком самой — все выводы там являются анализом кабинетного типа (открытые данные + разумные допущения), а не гарантированным прогнозом; методики сами это подчёркивают на каждом шаге.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2026-09-22T13:10:11.199Z</dcterms:created>
  <dcterms:modified xsi:type="dcterms:W3CDTF">2026-09-22T13:10:11.201Z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