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Что и как было сделано по проекту DiagramCode — подробное объяснение</w:t>
      </w:r>
    </w:p>
    <w:p>
      <w:pPr>
        <w:pStyle w:val="Heading1"/>
        <w:spacing w:after="120" w:before="240"/>
      </w:pPr>
      <w:r>
        <w:t xml:space="preserve">0. Контекст: что это за курс и что за проект</w:t>
      </w:r>
    </w:p>
    <w:p>
      <w:pPr>
        <w:spacing w:after="120"/>
      </w:pPr>
      <w:r>
        <w:t xml:space="preserve">Курс «Электронный бизнес» требует пройти полный цикл бизнес-анализа цифрового продукта: от проверки поискового спроса до управленческого решения о запуске. Материалы курса — 7 лабораторных работ (ЛР1-7), каждая со своей методичкой (Word) и часто с сопутствующим Excel-шаблоном.</w:t>
      </w:r>
    </w:p>
    <w:p>
      <w:pPr>
        <w:spacing w:after="120"/>
      </w:pPr>
      <w:r>
        <w:t xml:space="preserve">В качестве объекта анализа для всех семи лабораторных выбран реальный проект </w:t>
      </w:r>
      <w:r>
        <w:rPr>
          <w:b/>
          <w:bCs/>
        </w:rPr>
        <w:t xml:space="preserve">DiagramCode</w:t>
      </w:r>
      <w:r>
        <w:t xml:space="preserve"> — уже существующий (в разработке) сервис визуального моделирования диаграмм через собственный текстовый DSL (UML, ERD, IDEF0/1X/3, DFD, BPMN, сети Петри), с git-подобным версионированием, AI-генерацией по тексту/изображению и совместным редактированием. Это значит, что бизнес-анализ строился не на абстрактном примере, а на реальной архитектуре и реальных решениях уже существующего продукта — там, где это было возможно, использовались настоящие технические факты (например, состав первого релиза — не выдумка для лабы, а то, что уже спроектировано в архитектуре продукта).</w:t>
      </w:r>
    </w:p>
    <w:p>
      <w:pPr>
        <w:spacing w:after="120"/>
      </w:pPr>
      <w:r>
        <w:t xml:space="preserve">Методички ЛР2 и ЛР3 в присланном комплекте дословно совпадают (подтверждено и перепиской одногруппниц: «лаб2=лаб3, на одну меньше делать») — поэтому они выполнены как единая работа </w:t>
      </w:r>
      <w:r>
        <w:rPr>
          <w:rFonts w:ascii="Consolas" w:cs="Consolas" w:eastAsia="Consolas" w:hAnsi="Consolas"/>
        </w:rPr>
        <w:t xml:space="preserve">lab2-3-market-size</w:t>
      </w:r>
      <w:r>
        <w:t xml:space="preserve">.</w:t>
      </w:r>
    </w:p>
    <w:p>
      <w:pPr>
        <w:pStyle w:val="Heading1"/>
        <w:spacing w:after="120" w:before="240"/>
      </w:pPr>
      <w:r>
        <w:t xml:space="preserve">1. ЛР1 — Аргументация спроса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Google Trends показывает не число запросов, а относительный индекс интереса 0–100 — насколько тема «горячая» по сравнению с собой же в другое время. Яндекс Вордстат показывает частотность запросов к самому Яндексу. Ключевое методическое правило — не путать три разных явления: </w:t>
      </w:r>
      <w:r>
        <w:rPr>
          <w:b/>
          <w:bCs/>
        </w:rPr>
        <w:t xml:space="preserve">тренд</w:t>
      </w:r>
      <w:r>
        <w:t xml:space="preserve"> (устойчивое многолетнее направление), </w:t>
      </w:r>
      <w:r>
        <w:rPr>
          <w:b/>
          <w:bCs/>
        </w:rPr>
        <w:t xml:space="preserve">сезонность</w:t>
      </w:r>
      <w:r>
        <w:t xml:space="preserve"> (повторяющиеся годовые колебания) и </w:t>
      </w:r>
      <w:r>
        <w:rPr>
          <w:b/>
          <w:bCs/>
        </w:rPr>
        <w:t xml:space="preserve">разовый всплеск</w:t>
      </w:r>
      <w:r>
        <w:t xml:space="preserve"> (новость/реклама, проходит через месяц).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построено семантическое ядро из 7 групп запросов (общие, категорийные, коммерческие, проблемные, инструментальные, региональные, исключаемые) под конкретную идею DiagramCode. Затем через браузер напрямую сняты реальные данные Google Trends (не выдуманы): - Категория-лидер </w:t>
      </w:r>
      <w:r>
        <w:rPr>
          <w:rFonts w:ascii="Consolas" w:cs="Consolas" w:eastAsia="Consolas" w:hAnsi="Consolas"/>
        </w:rPr>
        <w:t xml:space="preserve">PlantUML</w:t>
      </w:r>
      <w:r>
        <w:t xml:space="preserve"> (ближайший функциональный аналог) показывает рост индекса интереса с 16 до 53 пунктов за период с 19.09.2021 по 08.12.2024 — точный расчёт даёт рост ≈231%. - Термин </w:t>
      </w:r>
      <w:r>
        <w:rPr>
          <w:rFonts w:ascii="Consolas" w:cs="Consolas" w:eastAsia="Consolas" w:hAnsi="Consolas"/>
        </w:rPr>
        <w:t xml:space="preserve">text to diagram</w:t>
      </w:r>
      <w:r>
        <w:t xml:space="preserve"> показывает структурный сдвиг с середины 2025 года — не сезонность и не разовый всплеск (держится больше года), а новый устойчивый уровень тренда, подтверждённый отдельным растущим связанным запросом </w:t>
      </w:r>
      <w:r>
        <w:rPr>
          <w:rFonts w:ascii="Consolas" w:cs="Consolas" w:eastAsia="Consolas" w:hAnsi="Consolas"/>
        </w:rPr>
        <w:t xml:space="preserve">text to diagram ai</w:t>
      </w:r>
      <w:r>
        <w:t xml:space="preserve"> со статусом </w:t>
      </w:r>
      <w:r>
        <w:rPr>
          <w:b/>
          <w:bCs/>
        </w:rPr>
        <w:t xml:space="preserve">Breakout</w:t>
      </w:r>
      <w:r>
        <w:t xml:space="preserve"> (рост более чем на 5000% — это сам Google Trends присваивает такой статус только самым быстрорастущим запросам). - Региональный разрез: </w:t>
      </w:r>
      <w:r>
        <w:rPr>
          <w:b/>
          <w:bCs/>
        </w:rPr>
        <w:t xml:space="preserve">Беларусь занимает 5-е место в мире по интересу к PlantUML</w:t>
      </w:r>
      <w:r>
        <w:t xml:space="preserve">, Россия — 4-е. Это прямое, измеримое подтверждение выбора стартовой географии (Беларусь + СНГ), а не просто удобное предположение. - Обнаружена реальная сезонность: устойчивый спад интереса в последнюю неделю декабря — повторяется 3 года подряд (2021: −53% от среднего, 2022: −38%, 2023: −41%) — правдоподобная причина: конец года, отпуска разработчиков.</w:t>
      </w:r>
    </w:p>
    <w:p>
      <w:pPr>
        <w:spacing w:after="120"/>
      </w:pPr>
      <w:r>
        <w:t xml:space="preserve">Яндекс Вордстат не снят — сервис требует личного входа в Яндекс ID, которого у меня как ассистента нет и не может быть (это ваш логин). Честно отмечено как ограничение, с точной инструкцией, что и как снять самой (см. </w:t>
      </w:r>
      <w:r>
        <w:rPr>
          <w:rFonts w:ascii="Consolas" w:cs="Consolas" w:eastAsia="Consolas" w:hAnsi="Consolas"/>
        </w:rPr>
        <w:t xml:space="preserve">ЧТО_ДОСНЯТЬ_САМОЙ.md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Итог</w:t>
      </w:r>
      <w:r>
        <w:t xml:space="preserve">: оценочная матрица перспективности идеи (6 критериев по 0–3 балла) даёт 14 из 18 — это полоса «принять идею, но сузить позиционирование», а не безусловное «да».</w:t>
      </w:r>
    </w:p>
    <w:p>
      <w:pPr>
        <w:pStyle w:val="Heading1"/>
        <w:spacing w:after="120" w:before="240"/>
      </w:pPr>
      <w:r>
        <w:t xml:space="preserve">2. ЛР2-3 — Границы и размер рынка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объём рынка нельзя посчитать одним числом — методика требует считать минимум двумя независимыми способами («сверху вниз» — от большого внешнего показателя, сужая долями; «снизу вверх» — от количества реальных клиентов) и сводить в диапазон TAM (потолок) / SAM (обслуживаемый рынок) / SOM (достижимо в первый год), а не выдавать один «точный» прогноз.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 - Реальные данные SimilarWeb (бесплатный доступ, снято 17.09.2026): </w:t>
      </w:r>
      <w:r>
        <w:rPr>
          <w:rFonts w:ascii="Consolas" w:cs="Consolas" w:eastAsia="Consolas" w:hAnsi="Consolas"/>
        </w:rPr>
        <w:t xml:space="preserve">plantuml.com</w:t>
      </w:r>
      <w:r>
        <w:t xml:space="preserve"> — ≈507 тыс. визитов, Россия — топ-страна трафика (9,07%); </w:t>
      </w:r>
      <w:r>
        <w:rPr>
          <w:rFonts w:ascii="Consolas" w:cs="Consolas" w:eastAsia="Consolas" w:hAnsi="Consolas"/>
        </w:rPr>
        <w:t xml:space="preserve">mermaidchart.com</w:t>
      </w:r>
      <w:r>
        <w:t xml:space="preserve"> (коммерческий продукт Mermaid) — менее 20 тыс. визитов, представлен в основном во Вьетнаме/Индонезии/США, а не в СНГ — то есть конкурент с деньгами почти не занял регион старта DiagramCode. - Реальная статистика: более 1000 компаний зарегистрировано в Парке высоких технологий Беларуси, доля IT в ВВП Беларуси — 6,1% (I кв. 2025), ВВП Беларуси 2024 года — $78,59 млрд (Macrotrends). - Расчёт «сверху вниз» построен от ВВП/оборота ИТ-сектора Беларуси (не задваивает расчёт через клиентов) → потолок рынка (TAM) ≈$479 000/год. - Расчёт «снизу вверх» через количество потенциальных клиентов-компаний ПВТ → обслуживаемый рынок (SAM) ≈$21 600–28 800/год. - Сценарии: осторожный (SOM, достижимо в 1-й год) ≈$9 600/год, оптимистичный (расширение на СНГ) ≈$336 000/год. - Реальный ценовой бенчмарк — тарифы конкурента Eraser.io (Free $0 → Starter $15-20 → Business $45-60 за место/мес) — использован как ориентир, а не выдуман.</w:t>
      </w:r>
    </w:p>
    <w:p>
      <w:pPr>
        <w:spacing w:after="120"/>
      </w:pPr>
      <w:r>
        <w:rPr>
          <w:b/>
          <w:bCs/>
        </w:rPr>
        <w:t xml:space="preserve">Почему именно так</w:t>
      </w:r>
      <w:r>
        <w:t xml:space="preserve">: разрыв между TAM ($479К) и SAM ($22-29К) почти в 20 раз — это ожидаемо для top-down-потолка (сам метод почти всегда завышает результат), а не ошибка; в отчёте это явно объяснено, а не скрыто.</w:t>
      </w:r>
    </w:p>
    <w:p>
      <w:pPr>
        <w:pStyle w:val="Heading1"/>
        <w:spacing w:after="120" w:before="240"/>
      </w:pPr>
      <w:r>
        <w:t xml:space="preserve">3. ЛР4 — Пять сил Портера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классические 5 сил Портера (конкуренция игроков, угроза новых участников, сила покупателей, сила поставщиков, угроза заменителей) в версии курса дополнены цифровыми факторами (сетевые эффекты, данные, алгоритмическая видимость, платформенная зависимость) — оценка по строго дискретной шкале 1/3/5 (низкое/среднее/высокое), без промежуточных значений.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каждая сила оценена с опорой на факты из ЛР1/ЛР2-3/ЛР5 (не абстрактно): например, «сила поставщиков» оценена как средняя (не высокая), потому что в архитектуре DiagramCode AI-провайдер уже спроектирован как сменный компонент (Strategy-паттерн), что реально снижает зависимость от одного поставщика LLM. Отдельно применена вторая методика — оценка барьеров конкуренции через SimilarWeb (своя шкала 1,0-5,0, 8 критериев) — дала 3,43 балла (высокий уровень барьеров), с честной оговоркой, что индекс концентрации рынка (CR3/CR5) не может быть посчитан — данных SimilarWeb достаточно только по 2 из 5 конкурентов.</w:t>
      </w:r>
    </w:p>
    <w:p>
      <w:pPr>
        <w:spacing w:after="120"/>
      </w:pPr>
      <w:r>
        <w:rPr>
          <w:b/>
          <w:bCs/>
        </w:rPr>
        <w:t xml:space="preserve">Итог</w:t>
      </w:r>
      <w:r>
        <w:t xml:space="preserve">: среднее значение сил — 4,33 из 5 (высокое конкурентное давление), но не из-за числа конкурентов, а из-за лёгкости, с которой разработчики сравнивают инструменты и уходят к бесплатным PlantUML/Mermaid.</w:t>
      </w:r>
    </w:p>
    <w:p>
      <w:pPr>
        <w:pStyle w:val="Heading1"/>
        <w:spacing w:after="120" w:before="240"/>
      </w:pPr>
      <w:r>
        <w:t xml:space="preserve">4. ЛР5 — Анализ конкурентов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конкурентов нельзя просто перечислить — нужно классифицировать по 7 уровням близости (прямой/близкий/косвенный/заменитель/потенциальный/для наблюдения/исключённый) через взвешенную формулу (8 критериев, шкала 0-4, пороги 80-100/65-79/50-64/35-49/20-34/0-19), а сам цифровой товар конкурентов разбирать через модель Левитта (5 уровней товара: от базовой выгоды до потенциального) и модель Кано (6 категорий требований клиента: обязательные, линейные, привлекательные, безразличные и т.д.).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 - Реальная 8-критериальная формула применена к 9 конкурентам с реальными фактами с их сайтов (например, дословная цитата с plantuml.com — «No server. No tokens. No tracking»). Формула честно развела очень похожие на первый взгляд визуальные редакторы: draw.io (67,5 — близкий), Lucidchart (63,5 — косвенный), Microsoft Visio (49,5 — заменитель) — раньше они ошибочно считались одним и тем же. - Модель Левитта применена к трём ключевым конкурентам и самому DiagramCode — показала, что у прямых конкурентов «расширенный товар» — это глубина экосистемы (плагины/интеграции), а не охват нотаций, то есть DiagramCode может занять именно это измерение. - Модель Кано применена к 10 ключевым функциям — показала, что «AI-генерация» смещается из категории «восхищает» в категорию «ожидается по умолчанию» (по мере роста рынка, см. ЛР1), а «полный охват нотаций» пока остаётся в категории «восхищает» — то есть настоящий источник дифференциации.</w:t>
      </w:r>
    </w:p>
    <w:p>
      <w:pPr>
        <w:spacing w:after="120"/>
      </w:pPr>
      <w:r>
        <w:rPr>
          <w:b/>
          <w:bCs/>
        </w:rPr>
        <w:t xml:space="preserve">Итог</w:t>
      </w:r>
      <w:r>
        <w:t xml:space="preserve">: ни один прямой конкурент не закрывает полный набор инженерных нотаций в одном продукте — это главный, фактически подтверждённый вывод всего анализа конкурентов.</w:t>
      </w:r>
    </w:p>
    <w:p>
      <w:pPr>
        <w:pStyle w:val="Heading1"/>
        <w:spacing w:after="120" w:before="240"/>
      </w:pPr>
      <w:r>
        <w:t xml:space="preserve">5. ЛР6 — Ценностное предложение, бизнес-модель, релизы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ценностное предложение собирается по 5-уровневой модели цифрового товара (ядро пользы → базовый → ожидаемый → расширенный → потенциальный), бизнес-модель — по 9-блочному Канвасу Остервальдера с обязательной проверкой связности блоков друг с другом, пользовательские сценарии должны закрывать порядка 9 разных семейств (не только «получение ценности», но и монетизацию, удержание, восстановление после ошибки и т.д.), а деление на релизы подчиняется правилу «первый релиз должен быть минимально достаточным, а не максимально полным».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все 9 блоков Канваса заполнены реальными архитектурными фактами продукта (конкретные модули: </w:t>
      </w:r>
      <w:r>
        <w:rPr>
          <w:rFonts w:ascii="Consolas" w:cs="Consolas" w:eastAsia="Consolas" w:hAnsi="Consolas"/>
        </w:rPr>
        <w:t xml:space="preserve">NotationProfile</w:t>
      </w:r>
      <w:r>
        <w:t xml:space="preserve">, </w:t>
      </w:r>
      <w:r>
        <w:rPr>
          <w:rFonts w:ascii="Consolas" w:cs="Consolas" w:eastAsia="Consolas" w:hAnsi="Consolas"/>
        </w:rPr>
        <w:t xml:space="preserve">AIProvider</w:t>
      </w:r>
      <w:r>
        <w:t xml:space="preserve">, </w:t>
      </w:r>
      <w:r>
        <w:rPr>
          <w:rFonts w:ascii="Consolas" w:cs="Consolas" w:eastAsia="Consolas" w:hAnsi="Consolas"/>
        </w:rPr>
        <w:t xml:space="preserve">grammar.lark</w:t>
      </w:r>
      <w:r>
        <w:t xml:space="preserve">), а не общими фразами. Поток доходов явно привязан цифрой ($8/участник/мес ≈ $480/год) к расчёту из ЛР2-3 — без этого блок оставался бы пустой декларацией. Добавлено 4 новых сценария сверх изначального «получения ценности»: посетитель сравнивает с конкурентами до регистрации (discovery), переход на платный тариф после исчерпания AI-квоты (монетизация, с полным 14-польным «паспортом сценария»), регулярный возврат к сохранённым диаграммам (удержание), диагностика и AI-исправление ошибки (восстановление после сбоя). Матрица «сценарий → экран» вскрыла реально недостающий экран — тарифы/оплата — без него точка монетизации из Канваса физически нереализуема; экран добавлен в состав первого релиза. Деление на 4 релиза совпадает с уже принятой архитектурой волн реализации нотаций в реальном продукте — не изобретено заново для лабы.</w:t>
      </w:r>
    </w:p>
    <w:p>
      <w:pPr>
        <w:pStyle w:val="Heading1"/>
        <w:spacing w:after="120" w:before="240"/>
      </w:pPr>
      <w:r>
        <w:t xml:space="preserve">6. ЛР7 — Итоговый отчёт и решение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итоговый отчёт — не пересказ шести предыдущих лабораторных, а их синтез в 13 разделов (плюс паспорт отчёта и 5 приложений), с итоговым управленческим решением на основе 8 критериев проверки (проблема/спрос/рынок/конкурентный пробел/ценность/монетизация/первый релиз/барьеры).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собран сводный отчёт со всеми 13 разделами плюс паспортом и 4 приложениями (карта доказательств, чек-лист полноты, минимальное ТЗ, заключение), оформленный по официальному титульному листу БГУИР (по образцу реально принятых отчётов по другим дисциплинам этой же группы — 320604). Отдельно оформлен требуемый краткий инвесторский документ по отдельному шаблону курса (раньше пересказывался внутри общего отчёта, а не существовал как отдельный файл).</w:t>
      </w:r>
    </w:p>
    <w:p>
      <w:pPr>
        <w:spacing w:after="120"/>
      </w:pPr>
      <w:r>
        <w:rPr>
          <w:b/>
          <w:bCs/>
        </w:rPr>
        <w:t xml:space="preserve">Итоговое решение</w:t>
      </w:r>
      <w:r>
        <w:t xml:space="preserve">: </w:t>
      </w:r>
      <w:r>
        <w:rPr>
          <w:b/>
          <w:bCs/>
        </w:rPr>
        <w:t xml:space="preserve">стартовать ограниченно</w:t>
      </w:r>
      <w:r>
        <w:t xml:space="preserve"> (не безусловный «зелёный свет») — потому что оценочная матрица ЛР1 даёт 14 из 18, а достижимый в первый год объём рынка (SOM) находится на нижней границе достаточности, а не с запасом. Все рыночные цифры явно помечены как допущения, требующие проверки прямым опросом клиентов и тестовыми продажами — это не формальность, а честное отражение того, что кабинетный анализ (даже на реальных данных) не заменяет реальную проверку на живых клиентах.</w:t>
      </w:r>
    </w:p>
    <w:p>
      <w:pPr>
        <w:pStyle w:val="Heading1"/>
        <w:spacing w:after="120" w:before="240"/>
      </w:pPr>
      <w:r>
        <w:t xml:space="preserve">7. Отдельный этап: проверка советом (что и почему исправлено)</w:t>
      </w:r>
    </w:p>
    <w:p>
      <w:pPr>
        <w:spacing w:after="120"/>
      </w:pPr>
      <w:r>
        <w:t xml:space="preserve">После первого прохода по всем лабораторным был запущен «консиллиум» — три независимых агента (один искал сильные стороны, один целенаправленно искал слабые места как строгий проверяющий, один механически сверял каждый пункт методичек построчно) прочитали настоящие методички и настоящие результаты и независимо друг от друга проверили соответствие. Найденные и исправленные проблемы: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Арифметика</w:t>
      </w:r>
      <w:r>
        <w:t xml:space="preserve"> в ЛР2-3: два сценария не сходились с собственными же допущениями (расхождение до 2,2 раза) — пересчитаны.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Нарушение шкалы</w:t>
      </w:r>
      <w:r>
        <w:t xml:space="preserve"> в ЛР4: использовались значения вне разрешённой методикой шкалы (1/3/5) — исправлено, плюс добавлена вторая методика (SimilarWeb-скоринг барьеров), которая раньше вообще не применялась.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Полностью отсутствовавшие обязательные модели</w:t>
      </w:r>
      <w:r>
        <w:t xml:space="preserve"> в ЛР5: модели Левитта и Кано (прямо названные в шаблоне лабораторной) не применялись вовсе — применены.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Несогласованность между лабами</w:t>
      </w:r>
      <w:r>
        <w:t xml:space="preserve"> в ЛР6: доход в бизнес-модели не был привязан цифрой к расчёту рынка — привязан; сценарии закрывали только одно из девяти нужных направлений — добавлено четыре.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Формальное несоответствие структуре</w:t>
      </w:r>
      <w:r>
        <w:t xml:space="preserve"> в ЛР7: не хватало паспорта отчёта, приложений и отдельного краткого резюме — добавлены; внутреннее противоречие (один конкурент назван и «прямым», и «близким» в одном абзаце) — устранено.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Незафиксированная региональная гипотеза</w:t>
      </w:r>
      <w:r>
        <w:t xml:space="preserve"> в ЛР1: выбор географии (Беларусь/СНГ) был заявлен без единой подтверждающей цифры — теперь подтверждён (или, для AI-сегмента, честно скорректирован) реальными данными по регионам.</w:t>
      </w:r>
    </w:p>
    <w:p>
      <w:pPr>
        <w:spacing w:after="120"/>
      </w:pPr>
      <w:r>
        <w:t xml:space="preserve">Все правки закоммичены в репозиторий отдельными коммитами с описанием, что именно и почему изменено — историю изменений можно посмотреть в </w:t>
      </w:r>
      <w:r>
        <w:rPr>
          <w:rFonts w:ascii="Consolas" w:cs="Consolas" w:eastAsia="Consolas" w:hAnsi="Consolas"/>
        </w:rPr>
        <w:t xml:space="preserve">git log</w:t>
      </w:r>
      <w:r>
        <w:t xml:space="preserve"> репозитория.</w:t>
      </w:r>
    </w:p>
    <w:p>
      <w:pPr>
        <w:pStyle w:val="Heading1"/>
        <w:spacing w:after="120" w:before="240"/>
      </w:pPr>
      <w:r>
        <w:t xml:space="preserve">8. Что осталось несделанным</w:t>
      </w:r>
    </w:p>
    <w:p>
      <w:pPr>
        <w:spacing w:after="120"/>
      </w:pPr>
      <w:r>
        <w:t xml:space="preserve">Полное покрытие Excel-шаблонов (многолистовые файлы с дашбордами для ЛР1/ЛР4/ЛР5/ЛР6) не воспроизведено один в один по каждому листу — вся содержательная логика этих шаблонов перенесена в текстовые отчёты с реальными цифрами, но не в форме </w:t>
      </w:r>
      <w:r>
        <w:rPr>
          <w:rFonts w:ascii="Consolas" w:cs="Consolas" w:eastAsia="Consolas" w:hAnsi="Consolas"/>
        </w:rPr>
        <w:t xml:space="preserve">.xlsx</w:t>
      </w:r>
      <w:r>
        <w:t xml:space="preserve">-файлов с формулами. Подробности и что ещё нужно доснять лично — в </w:t>
      </w:r>
      <w:r>
        <w:rPr>
          <w:rFonts w:ascii="Consolas" w:cs="Consolas" w:eastAsia="Consolas" w:hAnsi="Consolas"/>
        </w:rPr>
        <w:t xml:space="preserve">ЧТО_ДОСНЯТЬ_САМОЙ.md</w:t>
      </w:r>
      <w:r>
        <w:t xml:space="preserve">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2026-09-22T13:10:11.476Z</dcterms:created>
  <dcterms:modified xsi:type="dcterms:W3CDTF">2026-09-22T13:10:11.477Z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