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ЛР5. Анализ конкурентов по сайтам, уровни конкуренции</w:t>
      </w:r>
    </w:p>
    <w:p>
      <w:pPr>
        <w:spacing w:after="120"/>
      </w:pPr>
      <w:r>
        <w:t xml:space="preserve">Объект анализа: </w:t>
      </w:r>
      <w:r>
        <w:rPr>
          <w:b/>
          <w:bCs/>
        </w:rPr>
        <w:t xml:space="preserve">DiagramCode</w:t>
      </w:r>
      <w:r>
        <w:t xml:space="preserve">. Данные о конкурентах — с их официальных сайтов и из SimilarWeb (ЛР2-3), дата снятия везде </w:t>
      </w:r>
      <w:r>
        <w:rPr>
          <w:b/>
          <w:bCs/>
        </w:rPr>
        <w:t xml:space="preserve">2026-09-17</w:t>
      </w:r>
      <w:r>
        <w:t xml:space="preserve">, если не указано иное.</w:t>
      </w:r>
    </w:p>
    <w:p>
      <w:pPr>
        <w:spacing w:after="120"/>
      </w:pPr>
      <w:r>
        <w:rPr>
          <w:i/>
          <w:iCs/>
        </w:rPr>
        <w:t xml:space="preserve">**Исправлено после ревизии совета**: предыдущая версия использовала самодельную 6-критериальную шкалу 0-2 вместо реальной 8-критериальной формулы методики; арифметика взвешенных сумм не сходилась (6 из 7 значений); модели Левитта и Кано (обязательные по шаблону `Шаблон_анализа_конкурентов_Левитт_Кано.xlsx`) не применялись вообще; использовались только 3 из 7 уровней конкуренции; draw.io/Lucidchart/Visio были ошибочно объединены в одну строку. Всё ниже — переделано.</w:t>
      </w:r>
    </w:p>
    <w:p>
      <w:pPr>
        <w:pStyle w:val="Heading1"/>
        <w:spacing w:after="120" w:before="240"/>
      </w:pPr>
      <w:r>
        <w:t xml:space="preserve">1. Классификация по уровням конкуренции — реальная формула методики (§4, §7)</w:t>
      </w:r>
    </w:p>
    <w:p>
      <w:pPr>
        <w:spacing w:after="120"/>
      </w:pPr>
      <w:r>
        <w:rPr>
          <w:b/>
          <w:bCs/>
        </w:rPr>
        <w:t xml:space="preserve">Формула</w:t>
      </w:r>
      <w:r>
        <w:t xml:space="preserve">: индекс = (Σ оценка_критерия × вес) / 4 × 100, шкала оценки каждого критерия — 0–4. </w:t>
      </w:r>
      <w:r>
        <w:rPr>
          <w:b/>
          <w:bCs/>
        </w:rPr>
        <w:t xml:space="preserve">Веса</w:t>
      </w:r>
      <w:r>
        <w:t xml:space="preserve">: Задача 0,22 · Сегмент 0,18 · Продукт 0,18 · Заменяемость 0,18 · Каналы 0,10 · Цена 0,08 · Результат 0,04 · Видимость 0,02. </w:t>
      </w:r>
      <w:r>
        <w:rPr>
          <w:b/>
          <w:bCs/>
        </w:rPr>
        <w:t xml:space="preserve">Пороги</w:t>
      </w:r>
      <w:r>
        <w:t xml:space="preserve">: 80–100 Прямой · 65–79 Близкий · 50–64 Косвенный · 35–49 Заменитель · 20–34 Потенциальный · 0–19 Исключить.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Конкурент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Задача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Сегмент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Продукт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Замен.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Каналы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Цена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Результат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Видим.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Индекс</w:t>
            </w:r>
          </w:p>
        </w:tc>
        <w:tc>
          <w:tcPr>
            <w:tcW w:type="dxa" w:w="876"/>
            <w:shd w:fill="D9D9D9" w:val="clear"/>
          </w:tcPr>
          <w:p>
            <w:r>
              <w:rPr>
                <w:b/>
                <w:bCs/>
              </w:rPr>
              <w:t xml:space="preserve">Уровень</w:t>
            </w:r>
          </w:p>
        </w:tc>
      </w:tr>
      <w:tr>
        <w:tc>
          <w:tcPr>
            <w:tcW w:type="dxa" w:w="876"/>
          </w:tcPr>
          <w:p>
            <w:r>
              <w:t xml:space="preserve">PlantUML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90,0</w:t>
            </w:r>
          </w:p>
        </w:tc>
        <w:tc>
          <w:tcPr>
            <w:tcW w:type="dxa" w:w="876"/>
          </w:tcPr>
          <w:p>
            <w:r>
              <w:t xml:space="preserve">Прямой</w:t>
            </w:r>
          </w:p>
        </w:tc>
      </w:tr>
      <w:tr>
        <w:tc>
          <w:tcPr>
            <w:tcW w:type="dxa" w:w="876"/>
          </w:tcPr>
          <w:p>
            <w:r>
              <w:t xml:space="preserve">Mermaid (open-source ядро)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90,0</w:t>
            </w:r>
          </w:p>
        </w:tc>
        <w:tc>
          <w:tcPr>
            <w:tcW w:type="dxa" w:w="876"/>
          </w:tcPr>
          <w:p>
            <w:r>
              <w:t xml:space="preserve">Прямой</w:t>
            </w:r>
          </w:p>
        </w:tc>
      </w:tr>
      <w:tr>
        <w:tc>
          <w:tcPr>
            <w:tcW w:type="dxa" w:w="876"/>
          </w:tcPr>
          <w:p>
            <w:r>
              <w:t xml:space="preserve">MermaidChart (коммерческий)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83,5</w:t>
            </w:r>
          </w:p>
        </w:tc>
        <w:tc>
          <w:tcPr>
            <w:tcW w:type="dxa" w:w="876"/>
          </w:tcPr>
          <w:p>
            <w:r>
              <w:t xml:space="preserve">Прямой</w:t>
            </w:r>
          </w:p>
        </w:tc>
      </w:tr>
      <w:tr>
        <w:tc>
          <w:tcPr>
            <w:tcW w:type="dxa" w:w="876"/>
          </w:tcPr>
          <w:p>
            <w:r>
              <w:t xml:space="preserve">Eraser.io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93,0</w:t>
            </w:r>
          </w:p>
        </w:tc>
        <w:tc>
          <w:tcPr>
            <w:tcW w:type="dxa" w:w="876"/>
          </w:tcPr>
          <w:p>
            <w:r>
              <w:t xml:space="preserve">Прямой</w:t>
            </w:r>
          </w:p>
        </w:tc>
      </w:tr>
      <w:tr>
        <w:tc>
          <w:tcPr>
            <w:tcW w:type="dxa" w:w="876"/>
          </w:tcPr>
          <w:p>
            <w:r>
              <w:t xml:space="preserve">D2 (d2lang.com)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79,5</w:t>
            </w:r>
          </w:p>
        </w:tc>
        <w:tc>
          <w:tcPr>
            <w:tcW w:type="dxa" w:w="876"/>
          </w:tcPr>
          <w:p>
            <w:r>
              <w:t xml:space="preserve">Близкий</w:t>
            </w:r>
          </w:p>
        </w:tc>
      </w:tr>
      <w:tr>
        <w:tc>
          <w:tcPr>
            <w:tcW w:type="dxa" w:w="876"/>
          </w:tcPr>
          <w:p>
            <w:r>
              <w:t xml:space="preserve">draw.io (app.diagrams.net)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67,5</w:t>
            </w:r>
          </w:p>
        </w:tc>
        <w:tc>
          <w:tcPr>
            <w:tcW w:type="dxa" w:w="876"/>
          </w:tcPr>
          <w:p>
            <w:r>
              <w:t xml:space="preserve">Близкий</w:t>
            </w:r>
          </w:p>
        </w:tc>
      </w:tr>
      <w:tr>
        <w:tc>
          <w:tcPr>
            <w:tcW w:type="dxa" w:w="876"/>
          </w:tcPr>
          <w:p>
            <w:r>
              <w:t xml:space="preserve">Lucidchart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4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63,5</w:t>
            </w:r>
          </w:p>
        </w:tc>
        <w:tc>
          <w:tcPr>
            <w:tcW w:type="dxa" w:w="876"/>
          </w:tcPr>
          <w:p>
            <w:r>
              <w:t xml:space="preserve">Косвенный</w:t>
            </w:r>
          </w:p>
        </w:tc>
      </w:tr>
      <w:tr>
        <w:tc>
          <w:tcPr>
            <w:tcW w:type="dxa" w:w="876"/>
          </w:tcPr>
          <w:p>
            <w:r>
              <w:t xml:space="preserve">Microsoft Visio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t xml:space="preserve">3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49,5</w:t>
            </w:r>
          </w:p>
        </w:tc>
        <w:tc>
          <w:tcPr>
            <w:tcW w:type="dxa" w:w="876"/>
          </w:tcPr>
          <w:p>
            <w:r>
              <w:t xml:space="preserve">Заменитель</w:t>
            </w:r>
          </w:p>
        </w:tc>
      </w:tr>
      <w:tr>
        <w:tc>
          <w:tcPr>
            <w:tcW w:type="dxa" w:w="876"/>
          </w:tcPr>
          <w:p>
            <w:r>
              <w:t xml:space="preserve">Универсальные AI-ассистенты (ChatGPT/Claude/Gemini), код диаграммы генерируется вручную без рендера внутри инструмента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0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1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t xml:space="preserve">0</w:t>
            </w:r>
          </w:p>
        </w:tc>
        <w:tc>
          <w:tcPr>
            <w:tcW w:type="dxa" w:w="876"/>
          </w:tcPr>
          <w:p>
            <w:r>
              <w:t xml:space="preserve">2</w:t>
            </w:r>
          </w:p>
        </w:tc>
        <w:tc>
          <w:tcPr>
            <w:tcW w:type="dxa" w:w="876"/>
          </w:tcPr>
          <w:p>
            <w:r>
              <w:rPr>
                <w:b/>
                <w:bCs/>
              </w:rPr>
              <w:t xml:space="preserve">26,5</w:t>
            </w:r>
          </w:p>
        </w:tc>
        <w:tc>
          <w:tcPr>
            <w:tcW w:type="dxa" w:w="876"/>
          </w:tcPr>
          <w:p>
            <w:r>
              <w:t xml:space="preserve">Потенциальный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Разбивка draw.io / Lucidchart / Visio на три отдельные строки (в прошлой версии — одна строка) — это и есть исправление ошибки «оценивать бренд, а не конкретный товар»: у них три разных бизнес-модели (бесплатный open-source / SaaS-подписка / десктопная лицензия Microsoft 365), и формула это отражает — три разных уровня конкуренции.</w:t>
      </w:r>
    </w:p>
    <w:p>
      <w:pPr>
        <w:pStyle w:val="Heading2"/>
        <w:spacing w:after="100" w:before="200"/>
      </w:pPr>
      <w:r>
        <w:t xml:space="preserve">Компании для наблюдения за практиками (эталонные, не оцениваются по формуле выше)</w:t>
      </w:r>
    </w:p>
    <w:p>
      <w:pPr>
        <w:spacing w:after="120"/>
      </w:pPr>
      <w:r>
        <w:rPr>
          <w:b/>
          <w:bCs/>
        </w:rPr>
        <w:t xml:space="preserve">Structurizr</w:t>
      </w:r>
      <w:r>
        <w:t xml:space="preserve"> (C4-model, «архитектура как код») — не прямой конкурент (другой набор нотаций, фокус на архитектуре ПО, а не на UML/ERD/IDEF в целом), но эталон по практике: DSL + автогенерация нескольких уровней диаграмм (Context/Container/Component) из одного описания — практика, которую стоит перенять для decomposition-модели IDEF0/DFD DiagramCode.</w:t>
      </w:r>
    </w:p>
    <w:p>
      <w:pPr>
        <w:pStyle w:val="Heading2"/>
        <w:spacing w:after="100" w:before="200"/>
      </w:pPr>
      <w:r>
        <w:t xml:space="preserve">Исключённые компании</w:t>
      </w:r>
    </w:p>
    <w:p>
      <w:pPr>
        <w:spacing w:after="120"/>
      </w:pPr>
      <w:r>
        <w:rPr>
          <w:b/>
          <w:bCs/>
        </w:rPr>
        <w:t xml:space="preserve">Ручное рисование на бумаге/доске, Figma, отказ от диаграмм</w:t>
      </w:r>
      <w:r>
        <w:t xml:space="preserve"> — исключены из формальной классификации: это поведенческие альтернативы, а не компании/продукты, к которым применима методика оценки конкурента. Упомянуты в разделе 3 («заменяющее поведение»), но не получают числовой индекс. </w:t>
      </w:r>
      <w:r>
        <w:rPr>
          <w:b/>
          <w:bCs/>
        </w:rPr>
        <w:t xml:space="preserve">Microsoft Word/PowerPoint как способ «нарисовать схему»</w:t>
      </w:r>
      <w:r>
        <w:t xml:space="preserve"> — исключены по той же причине и потому что не специализированы на диаграммах вовсе.</w:t>
      </w:r>
    </w:p>
    <w:p>
      <w:pPr>
        <w:pStyle w:val="Heading1"/>
        <w:spacing w:after="120" w:before="240"/>
      </w:pPr>
      <w:r>
        <w:t xml:space="preserve">2. Реконструкция бизнес-моделей ключевых конкурентов</w:t>
      </w:r>
    </w:p>
    <w:p>
      <w:pPr>
        <w:spacing w:after="120"/>
      </w:pPr>
      <w:r>
        <w:t xml:space="preserve">Для каждого — оценка уверенности вывода: </w:t>
      </w:r>
      <w:r>
        <w:rPr>
          <w:b/>
          <w:bCs/>
        </w:rPr>
        <w:t xml:space="preserve">высокая</w:t>
      </w:r>
      <w:r>
        <w:t xml:space="preserve"> (прямая цитата/цифра с сайта, дата зафиксирована), </w:t>
      </w:r>
      <w:r>
        <w:rPr>
          <w:b/>
          <w:bCs/>
        </w:rPr>
        <w:t xml:space="preserve">средняя</w:t>
      </w:r>
      <w:r>
        <w:t xml:space="preserve"> (агрегировано из нескольких страниц), </w:t>
      </w:r>
      <w:r>
        <w:rPr>
          <w:b/>
          <w:bCs/>
        </w:rPr>
        <w:t xml:space="preserve">низкая</w:t>
      </w:r>
      <w:r>
        <w:t xml:space="preserve"> (оценка по косвенным признакам).</w:t>
      </w:r>
    </w:p>
    <w:p>
      <w:pPr>
        <w:pStyle w:val="Heading2"/>
        <w:spacing w:after="100" w:before="200"/>
      </w:pPr>
      <w:r>
        <w:t xml:space="preserve">PlantUML — Прямой конкурент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Уверенность</w:t>
            </w:r>
          </w:p>
        </w:tc>
      </w:tr>
      <w:tr>
        <w:tc>
          <w:tcPr>
            <w:tcW w:type="dxa" w:w="3212"/>
          </w:tcPr>
          <w:p>
            <w:r>
              <w:t xml:space="preserve">Ценностное предложение</w:t>
            </w:r>
          </w:p>
        </w:tc>
        <w:tc>
          <w:tcPr>
            <w:tcW w:type="dxa" w:w="3212"/>
          </w:tcPr>
          <w:p>
            <w:r>
              <w:t xml:space="preserve">Бесплатный, открытый, работает офлайн/локально и в браузере — «No server. No tokens. No tracking» (дословная цитата с plantuml.com, 2026-09-17)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Клиентские сегменты</w:t>
            </w:r>
          </w:p>
        </w:tc>
        <w:tc>
          <w:tcPr>
            <w:tcW w:type="dxa" w:w="3212"/>
          </w:tcPr>
          <w:p>
            <w:r>
              <w:t xml:space="preserve">Разработчики и техписатели, встраивающие диаграммы в код/CI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Каналы</w:t>
            </w:r>
          </w:p>
        </w:tc>
        <w:tc>
          <w:tcPr>
            <w:tcW w:type="dxa" w:w="3212"/>
          </w:tcPr>
          <w:p>
            <w:r>
              <w:t xml:space="preserve">Органический поиск, IDE-плагины (IntelliJ, VS Code), новое официальное браузерное расширение для GitHub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Модель доходов</w:t>
            </w:r>
          </w:p>
        </w:tc>
        <w:tc>
          <w:tcPr>
            <w:tcW w:type="dxa" w:w="3212"/>
          </w:tcPr>
          <w:p>
            <w:r>
              <w:t xml:space="preserve">Отсутствует — open-source без монетизации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Ключевые ресурсы</w:t>
            </w:r>
          </w:p>
        </w:tc>
        <w:tc>
          <w:tcPr>
            <w:tcW w:type="dxa" w:w="3212"/>
          </w:tcPr>
          <w:p>
            <w:r>
              <w:t xml:space="preserve">JS-движок рендера в браузере, обширная документация языка</w:t>
            </w:r>
          </w:p>
        </w:tc>
        <w:tc>
          <w:tcPr>
            <w:tcW w:type="dxa" w:w="3212"/>
          </w:tcPr>
          <w:p>
            <w:r>
              <w:t xml:space="preserve">средняя</w:t>
            </w:r>
          </w:p>
        </w:tc>
      </w:tr>
      <w:tr>
        <w:tc>
          <w:tcPr>
            <w:tcW w:type="dxa" w:w="3212"/>
          </w:tcPr>
          <w:p>
            <w:r>
              <w:t xml:space="preserve">Партнёрства/экосистема</w:t>
            </w:r>
          </w:p>
        </w:tc>
        <w:tc>
          <w:tcPr>
            <w:tcW w:type="dxa" w:w="3212"/>
          </w:tcPr>
          <w:p>
            <w:r>
              <w:t xml:space="preserve">Встраивание в десятки IDE и CI-инструментов как библиотека</w:t>
            </w:r>
          </w:p>
        </w:tc>
        <w:tc>
          <w:tcPr>
            <w:tcW w:type="dxa" w:w="3212"/>
          </w:tcPr>
          <w:p>
            <w:r>
              <w:t xml:space="preserve">средняя</w:t>
            </w:r>
          </w:p>
        </w:tc>
      </w:tr>
      <w:tr>
        <w:tc>
          <w:tcPr>
            <w:tcW w:type="dxa" w:w="3212"/>
          </w:tcPr>
          <w:p>
            <w:r>
              <w:t xml:space="preserve">Ограничение анализа</w:t>
            </w:r>
          </w:p>
        </w:tc>
        <w:tc>
          <w:tcPr>
            <w:tcW w:type="dxa" w:w="3212"/>
          </w:tcPr>
          <w:p>
            <w:r>
              <w:t xml:space="preserve">Реальное число активных пользователей не публикуется — виден только сайт-трафик (SimilarWeb, ЛР2-3), который системно занижен из-за локального использования</w:t>
            </w:r>
          </w:p>
        </w:tc>
        <w:tc>
          <w:tcPr>
            <w:tcW w:type="dxa" w:w="3212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Eraser.io — Прямой конкурент (наиболее близкий аналог)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Уверенность</w:t>
            </w:r>
          </w:p>
        </w:tc>
      </w:tr>
      <w:tr>
        <w:tc>
          <w:tcPr>
            <w:tcW w:type="dxa" w:w="3212"/>
          </w:tcPr>
          <w:p>
            <w:r>
              <w:t xml:space="preserve">Ценностное предложение</w:t>
            </w:r>
          </w:p>
        </w:tc>
        <w:tc>
          <w:tcPr>
            <w:tcW w:type="dxa" w:w="3212"/>
          </w:tcPr>
          <w:p>
            <w:r>
              <w:t xml:space="preserve">«Diagram-as-code» + AI-диаграммы + бесконечный канвас + markdown-заметки в одном инструменте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Клиентские сегменты</w:t>
            </w:r>
          </w:p>
        </w:tc>
        <w:tc>
          <w:tcPr>
            <w:tcW w:type="dxa" w:w="3212"/>
          </w:tcPr>
          <w:p>
            <w:r>
              <w:t xml:space="preserve">От индивидуальных разработчиков (Free) до организаций (Enterprise) — явная сегментация по тарифной сетке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Каналы</w:t>
            </w:r>
          </w:p>
        </w:tc>
        <w:tc>
          <w:tcPr>
            <w:tcW w:type="dxa" w:w="3212"/>
          </w:tcPr>
          <w:p>
            <w:r>
              <w:t xml:space="preserve">Прямые продажи + product-led growth через freemium с ограничением в 3 AI-диаграммы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Модель доходов</w:t>
            </w:r>
          </w:p>
        </w:tc>
        <w:tc>
          <w:tcPr>
            <w:tcW w:type="dxa" w:w="3212"/>
          </w:tcPr>
          <w:p>
            <w:r>
              <w:t xml:space="preserve">Подписка по местам: Free $0 → Starter $15-20 → Business $45-60 → Enterprise по запросу; лимит AI-кредитов растёт по тарифу (3→40→250→∞)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Ключевые ресурсы</w:t>
            </w:r>
          </w:p>
        </w:tc>
        <w:tc>
          <w:tcPr>
            <w:tcW w:type="dxa" w:w="3212"/>
          </w:tcPr>
          <w:p>
            <w:r>
              <w:t xml:space="preserve">Собственная AI-модель генерации диаграмм, интеграции с GitHub/Notion/Confluence/VS Code</w:t>
            </w:r>
          </w:p>
        </w:tc>
        <w:tc>
          <w:tcPr>
            <w:tcW w:type="dxa" w:w="3212"/>
          </w:tcPr>
          <w:p>
            <w:r>
              <w:t xml:space="preserve">средняя</w:t>
            </w:r>
          </w:p>
        </w:tc>
      </w:tr>
      <w:tr>
        <w:tc>
          <w:tcPr>
            <w:tcW w:type="dxa" w:w="3212"/>
          </w:tcPr>
          <w:p>
            <w:r>
              <w:t xml:space="preserve">Отношения с клиентами</w:t>
            </w:r>
          </w:p>
        </w:tc>
        <w:tc>
          <w:tcPr>
            <w:tcW w:type="dxa" w:w="3212"/>
          </w:tcPr>
          <w:p>
            <w:r>
              <w:t xml:space="preserve">SSO и usage reporting на старших тарифах — признак ориентации на enterprise-продажи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Ограничение анализа</w:t>
            </w:r>
          </w:p>
        </w:tc>
        <w:tc>
          <w:tcPr>
            <w:tcW w:type="dxa" w:w="3212"/>
          </w:tcPr>
          <w:p>
            <w:r>
              <w:t xml:space="preserve">Данные о финансировании (раунды, инвесторы) не собирались — нет доступа к Crunchbase в рамках этого исследования</w:t>
            </w:r>
          </w:p>
        </w:tc>
        <w:tc>
          <w:tcPr>
            <w:tcW w:type="dxa" w:w="3212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Mermaid (open-source) / MermaidChart (коммерческий) — оба Прямые конкуренты, но разные товары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Блок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Содержание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Уверенность</w:t>
            </w:r>
          </w:p>
        </w:tc>
      </w:tr>
      <w:tr>
        <w:tc>
          <w:tcPr>
            <w:tcW w:type="dxa" w:w="3212"/>
          </w:tcPr>
          <w:p>
            <w:r>
              <w:t xml:space="preserve">Ценностное предложение (ядро)</w:t>
            </w:r>
          </w:p>
        </w:tc>
        <w:tc>
          <w:tcPr>
            <w:tcW w:type="dxa" w:w="3212"/>
          </w:tcPr>
          <w:p>
            <w:r>
              <w:t xml:space="preserve">DSL, рендерящийся нативно в Markdown — GitHub/GitLab/Notion уже поддерживают Mermaid без плагинов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Модель доходов (ядро)</w:t>
            </w:r>
          </w:p>
        </w:tc>
        <w:tc>
          <w:tcPr>
            <w:tcW w:type="dxa" w:w="3212"/>
          </w:tcPr>
          <w:p>
            <w:r>
              <w:t xml:space="preserve">GitHub Sponsors — донаты ключевым разработчикам (страница «Meet The Team» с кнопками Sponsor)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MermaidChart — трафик и география</w:t>
            </w:r>
          </w:p>
        </w:tc>
        <w:tc>
          <w:tcPr>
            <w:tcW w:type="dxa" w:w="3212"/>
          </w:tcPr>
          <w:p>
            <w:r>
              <w:t xml:space="preserve">По SimilarWeb (ЛР2-3): &amp;lt;20 тыс. визитов/период, топ-страны — Вьетнам (44,98%), Индонезия (26,27%), США (15,1%) — русскоязычный сегмент почти не представлен</w:t>
            </w:r>
          </w:p>
        </w:tc>
        <w:tc>
          <w:tcPr>
            <w:tcW w:type="dxa" w:w="3212"/>
          </w:tcPr>
          <w:p>
            <w:r>
              <w:t xml:space="preserve">высокая</w:t>
            </w:r>
          </w:p>
        </w:tc>
      </w:tr>
      <w:tr>
        <w:tc>
          <w:tcPr>
            <w:tcW w:type="dxa" w:w="3212"/>
          </w:tcPr>
          <w:p>
            <w:r>
              <w:t xml:space="preserve">Ограничение анализа</w:t>
            </w:r>
          </w:p>
        </w:tc>
        <w:tc>
          <w:tcPr>
            <w:tcW w:type="dxa" w:w="3212"/>
          </w:tcPr>
          <w:p>
            <w:r>
              <w:t xml:space="preserve">Не удалось определить точные тарифы MermaidChart (сайт не давал полного доступа к прайсингу без регистрации)</w:t>
            </w:r>
          </w:p>
        </w:tc>
        <w:tc>
          <w:tcPr>
            <w:tcW w:type="dxa" w:w="3212"/>
          </w:tcPr>
          <w:p>
            <w: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3. Модель Левитта (5 уровней товара) — обязательный элемент методики, ранее не применялся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Уровень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PlantUML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Eraser.io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DiagramCode (наш продукт)</w:t>
            </w:r>
          </w:p>
        </w:tc>
      </w:tr>
      <w:tr>
        <w:tc>
          <w:tcPr>
            <w:tcW w:type="dxa" w:w="2409"/>
          </w:tcPr>
          <w:p>
            <w:r>
              <w:t xml:space="preserve">Базовая выгода</w:t>
            </w:r>
          </w:p>
        </w:tc>
        <w:tc>
          <w:tcPr>
            <w:tcW w:type="dxa" w:w="2409"/>
          </w:tcPr>
          <w:p>
            <w:r>
              <w:t xml:space="preserve">Получить диаграмму из текста</w:t>
            </w:r>
          </w:p>
        </w:tc>
        <w:tc>
          <w:tcPr>
            <w:tcW w:type="dxa" w:w="2409"/>
          </w:tcPr>
          <w:p>
            <w:r>
              <w:t xml:space="preserve">Получить диаграмму по описанию (AI)</w:t>
            </w:r>
          </w:p>
        </w:tc>
        <w:tc>
          <w:tcPr>
            <w:tcW w:type="dxa" w:w="2409"/>
          </w:tcPr>
          <w:p>
            <w:r>
              <w:t xml:space="preserve">Получить и </w:t>
            </w:r>
            <w:r>
              <w:rPr>
                <w:b/>
                <w:bCs/>
              </w:rPr>
              <w:t xml:space="preserve">версионировать</w:t>
            </w:r>
            <w:r>
              <w:t xml:space="preserve"> инженерную диаграмму без потери истории</w:t>
            </w:r>
          </w:p>
        </w:tc>
      </w:tr>
      <w:tr>
        <w:tc>
          <w:tcPr>
            <w:tcW w:type="dxa" w:w="2409"/>
          </w:tcPr>
          <w:p>
            <w:r>
              <w:t xml:space="preserve">Родовой товар</w:t>
            </w:r>
          </w:p>
        </w:tc>
        <w:tc>
          <w:tcPr>
            <w:tcW w:type="dxa" w:w="2409"/>
          </w:tcPr>
          <w:p>
            <w:r>
              <w:t xml:space="preserve">DSL-рендерер (текст → SVG/PNG)</w:t>
            </w:r>
          </w:p>
        </w:tc>
        <w:tc>
          <w:tcPr>
            <w:tcW w:type="dxa" w:w="2409"/>
          </w:tcPr>
          <w:p>
            <w:r>
              <w:t xml:space="preserve">DSL + AI-генератор с канвасом</w:t>
            </w:r>
          </w:p>
        </w:tc>
        <w:tc>
          <w:tcPr>
            <w:tcW w:type="dxa" w:w="2409"/>
          </w:tcPr>
          <w:p>
            <w:r>
              <w:t xml:space="preserve">DSL + рендер + git-подобное версионирование</w:t>
            </w:r>
          </w:p>
        </w:tc>
      </w:tr>
      <w:tr>
        <w:tc>
          <w:tcPr>
            <w:tcW w:type="dxa" w:w="2409"/>
          </w:tcPr>
          <w:p>
            <w:r>
              <w:t xml:space="preserve">Ожидаемый товар</w:t>
            </w:r>
          </w:p>
        </w:tc>
        <w:tc>
          <w:tcPr>
            <w:tcW w:type="dxa" w:w="2409"/>
          </w:tcPr>
          <w:p>
            <w:r>
              <w:t xml:space="preserve">Работает в браузере и локально, встроен в IDE, бесплатно</w:t>
            </w:r>
          </w:p>
        </w:tc>
        <w:tc>
          <w:tcPr>
            <w:tcW w:type="dxa" w:w="2409"/>
          </w:tcPr>
          <w:p>
            <w:r>
              <w:t xml:space="preserve">Интеграции (GitHub/Notion/Confluence/VS Code), история версий (90 дней → безлимит)</w:t>
            </w:r>
          </w:p>
        </w:tc>
        <w:tc>
          <w:tcPr>
            <w:tcW w:type="dxa" w:w="2409"/>
          </w:tcPr>
          <w:p>
            <w:r>
              <w:t xml:space="preserve">AI-генерация, IDE-оболочка, аутентификация</w:t>
            </w:r>
          </w:p>
        </w:tc>
      </w:tr>
      <w:tr>
        <w:tc>
          <w:tcPr>
            <w:tcW w:type="dxa" w:w="2409"/>
          </w:tcPr>
          <w:p>
            <w:r>
              <w:t xml:space="preserve">Расширенный товар</w:t>
            </w:r>
          </w:p>
        </w:tc>
        <w:tc>
          <w:tcPr>
            <w:tcW w:type="dxa" w:w="2409"/>
          </w:tcPr>
          <w:p>
            <w:r>
              <w:t xml:space="preserve">Browser extension для GitHub, огромная база примеров, community support</w:t>
            </w:r>
          </w:p>
        </w:tc>
        <w:tc>
          <w:tcPr>
            <w:tcW w:type="dxa" w:w="2409"/>
          </w:tcPr>
          <w:p>
            <w:r>
              <w:t xml:space="preserve">SSO, кастомные иконки, API, командные тарифы</w:t>
            </w:r>
          </w:p>
        </w:tc>
        <w:tc>
          <w:tcPr>
            <w:tcW w:type="dxa" w:w="2409"/>
          </w:tcPr>
          <w:p>
            <w:r>
              <w:t xml:space="preserve">Полный охват нотаций (UML+ERD+IDEF+BPMN+Petri) — </w:t>
            </w:r>
            <w:r>
              <w:rPr>
                <w:b/>
                <w:bCs/>
              </w:rPr>
              <w:t xml:space="preserve">ни у одного конкурента нет полностью</w:t>
            </w:r>
          </w:p>
        </w:tc>
      </w:tr>
      <w:tr>
        <w:tc>
          <w:tcPr>
            <w:tcW w:type="dxa" w:w="2409"/>
          </w:tcPr>
          <w:p>
            <w:r>
              <w:t xml:space="preserve">Потенциальный товар</w:t>
            </w:r>
          </w:p>
        </w:tc>
        <w:tc>
          <w:tcPr>
            <w:tcW w:type="dxa" w:w="2409"/>
          </w:tcPr>
          <w:p>
            <w:r>
              <w:t xml:space="preserve">Не заявлен — open-source roadmap community-driven</w:t>
            </w:r>
          </w:p>
        </w:tc>
        <w:tc>
          <w:tcPr>
            <w:tcW w:type="dxa" w:w="2409"/>
          </w:tcPr>
          <w:p>
            <w:r>
              <w:t xml:space="preserve">Enterprise deployment flexibility, usage reporting</w:t>
            </w:r>
          </w:p>
        </w:tc>
        <w:tc>
          <w:tcPr>
            <w:tcW w:type="dxa" w:w="2409"/>
          </w:tcPr>
          <w:p>
            <w:r>
              <w:t xml:space="preserve">Маркетплейс шаблонов, экспорт в нативные форматы конкурентов, обучение AI на истории пользователя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Вывод по Левитту</w:t>
      </w:r>
      <w:r>
        <w:t xml:space="preserve">: у PlantUML и Eraser.io «расширенный товар» — это глубина экосистемы (плагины/интеграции), а не охват нотаций. DiagramCode может занять «расширенный товар» именно через охват нотаций — единственное измерение, где сегодня нет лидера.</w:t>
      </w:r>
    </w:p>
    <w:p>
      <w:pPr>
        <w:pStyle w:val="Heading1"/>
        <w:spacing w:after="120" w:before="240"/>
      </w:pPr>
      <w:r>
        <w:t xml:space="preserve">4. Модель Кано — классификация ключевых функций (обязательный элемент методики, ранее не применялся)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Функция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Категория Кано</w:t>
            </w:r>
          </w:p>
        </w:tc>
        <w:tc>
          <w:tcPr>
            <w:tcW w:type="dxa" w:w="3212"/>
            <w:shd w:fill="D9D9D9" w:val="clear"/>
          </w:tcPr>
          <w:p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>
            <w:tcW w:type="dxa" w:w="3212"/>
          </w:tcPr>
          <w:p>
            <w:r>
              <w:t xml:space="preserve">Текстовый DSL-редактор с подсветкой синтаксиса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Обязательная (must-be)</w:t>
            </w:r>
          </w:p>
        </w:tc>
        <w:tc>
          <w:tcPr>
            <w:tcW w:type="dxa" w:w="3212"/>
          </w:tcPr>
          <w:p>
            <w:r>
              <w:t xml:space="preserve">Отсутствие — блокер для dev-инструмента; наличие не радует, воспринимается как данность</w:t>
            </w:r>
          </w:p>
        </w:tc>
      </w:tr>
      <w:tr>
        <w:tc>
          <w:tcPr>
            <w:tcW w:type="dxa" w:w="3212"/>
          </w:tcPr>
          <w:p>
            <w:r>
              <w:t xml:space="preserve">Рендер без установки в браузере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Обязательная (must-be)</w:t>
            </w:r>
          </w:p>
        </w:tc>
        <w:tc>
          <w:tcPr>
            <w:tcW w:type="dxa" w:w="3212"/>
          </w:tcPr>
          <w:p>
            <w:r>
              <w:t xml:space="preserve">Рыночный стандарт с PlantUML/Mermaid — уже ожидается по умолчанию</w:t>
            </w:r>
          </w:p>
        </w:tc>
      </w:tr>
      <w:tr>
        <w:tc>
          <w:tcPr>
            <w:tcW w:type="dxa" w:w="3212"/>
          </w:tcPr>
          <w:p>
            <w:r>
              <w:t xml:space="preserve">Интеграция с GitHub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Обязательная (must-be)</w:t>
            </w:r>
          </w:p>
        </w:tc>
        <w:tc>
          <w:tcPr>
            <w:tcW w:type="dxa" w:w="3212"/>
          </w:tcPr>
          <w:p>
            <w:r>
              <w:t xml:space="preserve">Подтверждено в ЛР5 как рыночный стандарт (и у PlantUML, и у Mermaid, и у Eraser.io)</w:t>
            </w:r>
          </w:p>
        </w:tc>
      </w:tr>
      <w:tr>
        <w:tc>
          <w:tcPr>
            <w:tcW w:type="dxa" w:w="3212"/>
          </w:tcPr>
          <w:p>
            <w:r>
              <w:t xml:space="preserve">История версий / откат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Линейная (performance)</w:t>
            </w:r>
          </w:p>
        </w:tc>
        <w:tc>
          <w:tcPr>
            <w:tcW w:type="dxa" w:w="3212"/>
          </w:tcPr>
          <w:p>
            <w:r>
              <w:t xml:space="preserve">Чем глубже история — тем выше воспринимаемая ценность (у Eraser.io явно градуирована по тарифам: 90 дней → безлимит)</w:t>
            </w:r>
          </w:p>
        </w:tc>
      </w:tr>
      <w:tr>
        <w:tc>
          <w:tcPr>
            <w:tcW w:type="dxa" w:w="3212"/>
          </w:tcPr>
          <w:p>
            <w:r>
              <w:t xml:space="preserve">Совместное редактирование в реальном времени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Линейная (performance)</w:t>
            </w:r>
          </w:p>
        </w:tc>
        <w:tc>
          <w:tcPr>
            <w:tcW w:type="dxa" w:w="3212"/>
          </w:tcPr>
          <w:p>
            <w:r>
              <w:t xml:space="preserve">Ожидается в современных SaaS-инструментах, качество реализации напрямую влияет на удовлетворённость</w:t>
            </w:r>
          </w:p>
        </w:tc>
      </w:tr>
      <w:tr>
        <w:tc>
          <w:tcPr>
            <w:tcW w:type="dxa" w:w="3212"/>
          </w:tcPr>
          <w:p>
            <w:r>
              <w:t xml:space="preserve">AI-генерация диаграммы по тексту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Привлекательная (excitement)</w:t>
            </w:r>
            <w:r>
              <w:t xml:space="preserve">, смещается к линейной</w:t>
            </w:r>
          </w:p>
        </w:tc>
        <w:tc>
          <w:tcPr>
            <w:tcW w:type="dxa" w:w="3212"/>
          </w:tcPr>
          <w:p>
            <w:r>
              <w:t xml:space="preserve">По ЛР1 спрос на эту функцию структурно растёт с середины 2025 — то, что вчера восхищало, послезавтра станет ожидаемым (классический жизненный цикл категории по модели Кано)</w:t>
            </w:r>
          </w:p>
        </w:tc>
      </w:tr>
      <w:tr>
        <w:tc>
          <w:tcPr>
            <w:tcW w:type="dxa" w:w="3212"/>
          </w:tcPr>
          <w:p>
            <w:r>
              <w:t xml:space="preserve">Полный охват инженерных нотаций (UML+ERD+IDEF+BPMN+Petri) в одном инструменте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Привлекательная (excitement)</w:t>
            </w:r>
          </w:p>
        </w:tc>
        <w:tc>
          <w:tcPr>
            <w:tcW w:type="dxa" w:w="3212"/>
          </w:tcPr>
          <w:p>
            <w:r>
              <w:t xml:space="preserve">Ни у одного конкурента нет — источник дифференциации DiagramCode, не воспринимается как данность</w:t>
            </w:r>
          </w:p>
        </w:tc>
      </w:tr>
      <w:tr>
        <w:tc>
          <w:tcPr>
            <w:tcW w:type="dxa" w:w="3212"/>
          </w:tcPr>
          <w:p>
            <w:r>
              <w:t xml:space="preserve">Экспорт в нативные форматы конкурентов (PlantUML/Mermaid-текст, BPMN XML)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Привлекательная для мигрирующих / безразличная для новых</w:t>
            </w:r>
          </w:p>
        </w:tc>
        <w:tc>
          <w:tcPr>
            <w:tcW w:type="dxa" w:w="3212"/>
          </w:tcPr>
          <w:p>
            <w:r>
              <w:t xml:space="preserve">Ценна только для команд, переходящих с других инструментов — сегмент-зависимая категория</w:t>
            </w:r>
          </w:p>
        </w:tc>
      </w:tr>
      <w:tr>
        <w:tc>
          <w:tcPr>
            <w:tcW w:type="dxa" w:w="3212"/>
          </w:tcPr>
          <w:p>
            <w:r>
              <w:t xml:space="preserve">Кастомные иконки/темы оформления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Безразличная</w:t>
            </w:r>
          </w:p>
        </w:tc>
        <w:tc>
          <w:tcPr>
            <w:tcW w:type="dxa" w:w="3212"/>
          </w:tcPr>
          <w:p>
            <w:r>
              <w:t xml:space="preserve">Косметика, низкая дифференцирующая ценность (это же видно по Eraser.io — вынесено только в старшие тарифы, не в ядро продукта)</w:t>
            </w:r>
          </w:p>
        </w:tc>
      </w:tr>
      <w:tr>
        <w:tc>
          <w:tcPr>
            <w:tcW w:type="dxa" w:w="3212"/>
          </w:tcPr>
          <w:p>
            <w:r>
              <w:t xml:space="preserve">SSO / enterprise-функции</w:t>
            </w:r>
          </w:p>
        </w:tc>
        <w:tc>
          <w:tcPr>
            <w:tcW w:type="dxa" w:w="3212"/>
          </w:tcPr>
          <w:p>
            <w:r>
              <w:rPr>
                <w:b/>
                <w:bCs/>
              </w:rPr>
              <w:t xml:space="preserve">Безразличная для малых команд, обязательная для enterprise</w:t>
            </w:r>
          </w:p>
        </w:tc>
        <w:tc>
          <w:tcPr>
            <w:tcW w:type="dxa" w:w="3212"/>
          </w:tcPr>
          <w:p>
            <w:r>
              <w:t xml:space="preserve">Сегмент-зависимая категория — подтверждает решение не включать это в первый релиз (ЛР6)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5. Рыночный стандарт цифрового товара — 6-классовая типология (методика §8.1, ранее использовалась урезанная 3-значная шкала)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Признак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Класс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Доля прямых конкурентов с признаком</w:t>
            </w:r>
          </w:p>
        </w:tc>
        <w:tc>
          <w:tcPr>
            <w:tcW w:type="dxa" w:w="2409"/>
            <w:shd w:fill="D9D9D9" w:val="clear"/>
          </w:tcPr>
          <w:p>
            <w:r>
              <w:rPr>
                <w:b/>
                <w:bCs/>
              </w:rPr>
              <w:t xml:space="preserve">Обоснование класса</w:t>
            </w:r>
          </w:p>
        </w:tc>
      </w:tr>
      <w:tr>
        <w:tc>
          <w:tcPr>
            <w:tcW w:type="dxa" w:w="2409"/>
          </w:tcPr>
          <w:p>
            <w:r>
              <w:t xml:space="preserve">Текстовый DSL</w:t>
            </w:r>
          </w:p>
        </w:tc>
        <w:tc>
          <w:tcPr>
            <w:tcW w:type="dxa" w:w="2409"/>
          </w:tcPr>
          <w:p>
            <w:r>
              <w:t xml:space="preserve">Обязательная практика</w:t>
            </w:r>
          </w:p>
        </w:tc>
        <w:tc>
          <w:tcPr>
            <w:tcW w:type="dxa" w:w="2409"/>
          </w:tcPr>
          <w:p>
            <w:r>
              <w:t xml:space="preserve">4 из 4 прямых (PlantUML, Mermaid, MermaidChart, Eraser.io)</w:t>
            </w:r>
          </w:p>
        </w:tc>
        <w:tc>
          <w:tcPr>
            <w:tcW w:type="dxa" w:w="2409"/>
          </w:tcPr>
          <w:p>
            <w:r>
              <w:t xml:space="preserve">100% — безусловный стандарт</w:t>
            </w:r>
          </w:p>
        </w:tc>
      </w:tr>
      <w:tr>
        <w:tc>
          <w:tcPr>
            <w:tcW w:type="dxa" w:w="2409"/>
          </w:tcPr>
          <w:p>
            <w:r>
              <w:t xml:space="preserve">Браузерный рендер без установки</w:t>
            </w:r>
          </w:p>
        </w:tc>
        <w:tc>
          <w:tcPr>
            <w:tcW w:type="dxa" w:w="2409"/>
          </w:tcPr>
          <w:p>
            <w:r>
              <w:t xml:space="preserve">Обязательная практика</w:t>
            </w:r>
          </w:p>
        </w:tc>
        <w:tc>
          <w:tcPr>
            <w:tcW w:type="dxa" w:w="2409"/>
          </w:tcPr>
          <w:p>
            <w:r>
              <w:t xml:space="preserve">4 из 4</w:t>
            </w:r>
          </w:p>
        </w:tc>
        <w:tc>
          <w:tcPr>
            <w:tcW w:type="dxa" w:w="2409"/>
          </w:tcPr>
          <w:p>
            <w:r>
              <w:t xml:space="preserve">100% — безусловный стандарт</w:t>
            </w:r>
          </w:p>
        </w:tc>
      </w:tr>
      <w:tr>
        <w:tc>
          <w:tcPr>
            <w:tcW w:type="dxa" w:w="2409"/>
          </w:tcPr>
          <w:p>
            <w:r>
              <w:t xml:space="preserve">Интеграция с GitHub/GitLab</w:t>
            </w:r>
          </w:p>
        </w:tc>
        <w:tc>
          <w:tcPr>
            <w:tcW w:type="dxa" w:w="2409"/>
          </w:tcPr>
          <w:p>
            <w:r>
              <w:t xml:space="preserve">Распространённая практика</w:t>
            </w:r>
          </w:p>
        </w:tc>
        <w:tc>
          <w:tcPr>
            <w:tcW w:type="dxa" w:w="2409"/>
          </w:tcPr>
          <w:p>
            <w:r>
              <w:t xml:space="preserve">3 из 4 (нет прямого подтверждения для MermaidChart)</w:t>
            </w:r>
          </w:p>
        </w:tc>
        <w:tc>
          <w:tcPr>
            <w:tcW w:type="dxa" w:w="2409"/>
          </w:tcPr>
          <w:p>
            <w:r>
              <w:t xml:space="preserve">≥70%, но не 100%</w:t>
            </w:r>
          </w:p>
        </w:tc>
      </w:tr>
      <w:tr>
        <w:tc>
          <w:tcPr>
            <w:tcW w:type="dxa" w:w="2409"/>
          </w:tcPr>
          <w:p>
            <w:r>
              <w:t xml:space="preserve">AI-генерация по тексту</w:t>
            </w:r>
          </w:p>
        </w:tc>
        <w:tc>
          <w:tcPr>
            <w:tcW w:type="dxa" w:w="2409"/>
          </w:tcPr>
          <w:p>
            <w:r>
              <w:t xml:space="preserve">Усиливающая практика</w:t>
            </w:r>
          </w:p>
        </w:tc>
        <w:tc>
          <w:tcPr>
            <w:tcW w:type="dxa" w:w="2409"/>
          </w:tcPr>
          <w:p>
            <w:r>
              <w:t xml:space="preserve">2 из 4 (Eraser.io явно, MermaidChart предположительно)</w:t>
            </w:r>
          </w:p>
        </w:tc>
        <w:tc>
          <w:tcPr>
            <w:tcW w:type="dxa" w:w="2409"/>
          </w:tcPr>
          <w:p>
            <w:r>
              <w:t xml:space="preserve">Растёт быстро (ЛР1), но пока не у большинства</w:t>
            </w:r>
          </w:p>
        </w:tc>
      </w:tr>
      <w:tr>
        <w:tc>
          <w:tcPr>
            <w:tcW w:type="dxa" w:w="2409"/>
          </w:tcPr>
          <w:p>
            <w:r>
              <w:t xml:space="preserve">«Полный охват инженерных нотаций в одном продукте»</w:t>
            </w:r>
          </w:p>
        </w:tc>
        <w:tc>
          <w:tcPr>
            <w:tcW w:type="dxa" w:w="2409"/>
          </w:tcPr>
          <w:p>
            <w:r>
              <w:rPr>
                <w:b/>
                <w:bCs/>
              </w:rPr>
              <w:t xml:space="preserve">Редкая практика</w:t>
            </w:r>
          </w:p>
        </w:tc>
        <w:tc>
          <w:tcPr>
            <w:tcW w:type="dxa" w:w="2409"/>
          </w:tcPr>
          <w:p>
            <w:r>
              <w:t xml:space="preserve">0 из 4</w:t>
            </w:r>
          </w:p>
        </w:tc>
        <w:tc>
          <w:tcPr>
            <w:tcW w:type="dxa" w:w="2409"/>
          </w:tcPr>
          <w:p>
            <w:r>
              <w:t xml:space="preserve">Ни у одного — прямая зона дифференциации</w:t>
            </w:r>
          </w:p>
        </w:tc>
      </w:tr>
      <w:tr>
        <w:tc>
          <w:tcPr>
            <w:tcW w:type="dxa" w:w="2409"/>
          </w:tcPr>
          <w:p>
            <w:r>
              <w:t xml:space="preserve">Заявления вида «AI понимает вашу архитектуру» (общие маркетинговые формулировки без конкретики)</w:t>
            </w:r>
          </w:p>
        </w:tc>
        <w:tc>
          <w:tcPr>
            <w:tcW w:type="dxa" w:w="2409"/>
          </w:tcPr>
          <w:p>
            <w:r>
              <w:rPr>
                <w:b/>
                <w:bCs/>
              </w:rPr>
              <w:t xml:space="preserve">Декларативная практика</w:t>
            </w:r>
          </w:p>
        </w:tc>
        <w:tc>
          <w:tcPr>
            <w:tcW w:type="dxa" w:w="2409"/>
          </w:tcPr>
          <w:p>
            <w:r>
              <w:t xml:space="preserve">Наблюдается в маркетинговых текстах Eraser.io</w:t>
            </w:r>
          </w:p>
        </w:tc>
        <w:tc>
          <w:tcPr>
            <w:tcW w:type="dxa" w:w="2409"/>
          </w:tcPr>
          <w:p>
            <w:r>
              <w:t xml:space="preserve">Не подтверждена конкретными данными на сайте — маркетинговая формулировка, не факт</w:t>
            </w:r>
          </w:p>
        </w:tc>
      </w:tr>
      <w:tr>
        <w:tc>
          <w:tcPr>
            <w:tcW w:type="dxa" w:w="2409"/>
          </w:tcPr>
          <w:p>
            <w:r>
              <w:t xml:space="preserve">«Без сервера, без слежки» (PlantUML) при одновременной работе через сторонние облачные рендер-сервисы у части инструментов экосистемы</w:t>
            </w:r>
          </w:p>
        </w:tc>
        <w:tc>
          <w:tcPr>
            <w:tcW w:type="dxa" w:w="2409"/>
          </w:tcPr>
          <w:p>
            <w:r>
              <w:t xml:space="preserve">Не относится к негативной практике для рассмотренных конкурентов</w:t>
            </w:r>
          </w:p>
        </w:tc>
        <w:tc>
          <w:tcPr>
            <w:tcW w:type="dxa" w:w="2409"/>
          </w:tcPr>
          <w:p>
            <w:r>
              <w:t xml:space="preserve">—</w:t>
            </w:r>
          </w:p>
        </w:tc>
        <w:tc>
          <w:tcPr>
            <w:tcW w:type="dxa" w:w="2409"/>
          </w:tcPr>
          <w:p>
            <w:r>
              <w:t xml:space="preserve">Негативных практик (обманывающих ожидания клиента) в выборке не обнаружено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6. Сравнительная матрица конкурентов (сокращённый набор колонок, прямые конкуренты)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PlantUML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Mermaid (OSS)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MermaidChart</w:t>
            </w:r>
          </w:p>
        </w:tc>
        <w:tc>
          <w:tcPr>
            <w:tcW w:type="dxa" w:w="1927"/>
            <w:shd w:fill="D9D9D9" w:val="clear"/>
          </w:tcPr>
          <w:p>
            <w:r>
              <w:rPr>
                <w:b/>
                <w:bCs/>
              </w:rPr>
              <w:t xml:space="preserve">Eraser.io</w:t>
            </w:r>
          </w:p>
        </w:tc>
      </w:tr>
      <w:tr>
        <w:tc>
          <w:tcPr>
            <w:tcW w:type="dxa" w:w="1927"/>
          </w:tcPr>
          <w:p>
            <w:r>
              <w:t xml:space="preserve">Открытые тарифы на сайте</w:t>
            </w:r>
          </w:p>
        </w:tc>
        <w:tc>
          <w:tcPr>
            <w:tcW w:type="dxa" w:w="1927"/>
          </w:tcPr>
          <w:p>
            <w:r>
              <w:t xml:space="preserve">Да (бесплатно)</w:t>
            </w:r>
          </w:p>
        </w:tc>
        <w:tc>
          <w:tcPr>
            <w:tcW w:type="dxa" w:w="1927"/>
          </w:tcPr>
          <w:p>
            <w:r>
              <w:t xml:space="preserve">Да (бесплатно)</w:t>
            </w:r>
          </w:p>
        </w:tc>
        <w:tc>
          <w:tcPr>
            <w:tcW w:type="dxa" w:w="1927"/>
          </w:tcPr>
          <w:p>
            <w:r>
              <w:t xml:space="preserve">Не полностью (закрыты за регистрацией)</w:t>
            </w:r>
          </w:p>
        </w:tc>
        <w:tc>
          <w:tcPr>
            <w:tcW w:type="dxa" w:w="1927"/>
          </w:tcPr>
          <w:p>
            <w:r>
              <w:t xml:space="preserve">Да</w:t>
            </w:r>
          </w:p>
        </w:tc>
      </w:tr>
      <w:tr>
        <w:tc>
          <w:tcPr>
            <w:tcW w:type="dxa" w:w="1927"/>
          </w:tcPr>
          <w:p>
            <w:r>
              <w:t xml:space="preserve">Пробный доступ без оплаты</w:t>
            </w:r>
          </w:p>
        </w:tc>
        <w:tc>
          <w:tcPr>
            <w:tcW w:type="dxa" w:w="1927"/>
          </w:tcPr>
          <w:p>
            <w:r>
              <w:t xml:space="preserve">Не требуется (всё бесплатно)</w:t>
            </w:r>
          </w:p>
        </w:tc>
        <w:tc>
          <w:tcPr>
            <w:tcW w:type="dxa" w:w="1927"/>
          </w:tcPr>
          <w:p>
            <w:r>
              <w:t xml:space="preserve">Не требуется</w:t>
            </w:r>
          </w:p>
        </w:tc>
        <w:tc>
          <w:tcPr>
            <w:tcW w:type="dxa" w:w="1927"/>
          </w:tcPr>
          <w:p>
            <w:r>
              <w:t xml:space="preserve">Не выяснено</w:t>
            </w:r>
          </w:p>
        </w:tc>
        <w:tc>
          <w:tcPr>
            <w:tcW w:type="dxa" w:w="1927"/>
          </w:tcPr>
          <w:p>
            <w:r>
              <w:t xml:space="preserve">Да, тариф Free</w:t>
            </w:r>
          </w:p>
        </w:tc>
      </w:tr>
      <w:tr>
        <w:tc>
          <w:tcPr>
            <w:tcW w:type="dxa" w:w="1927"/>
          </w:tcPr>
          <w:p>
            <w:r>
              <w:t xml:space="preserve">Самостоятельная регистрация</w:t>
            </w:r>
          </w:p>
        </w:tc>
        <w:tc>
          <w:tcPr>
            <w:tcW w:type="dxa" w:w="1927"/>
          </w:tcPr>
          <w:p>
            <w:r>
              <w:t xml:space="preserve">Не требуется</w:t>
            </w:r>
          </w:p>
        </w:tc>
        <w:tc>
          <w:tcPr>
            <w:tcW w:type="dxa" w:w="1927"/>
          </w:tcPr>
          <w:p>
            <w:r>
              <w:t xml:space="preserve">Не требуется</w:t>
            </w:r>
          </w:p>
        </w:tc>
        <w:tc>
          <w:tcPr>
            <w:tcW w:type="dxa" w:w="1927"/>
          </w:tcPr>
          <w:p>
            <w:r>
              <w:t xml:space="preserve">Да</w:t>
            </w:r>
          </w:p>
        </w:tc>
        <w:tc>
          <w:tcPr>
            <w:tcW w:type="dxa" w:w="1927"/>
          </w:tcPr>
          <w:p>
            <w:r>
              <w:t xml:space="preserve">Да</w:t>
            </w:r>
          </w:p>
        </w:tc>
      </w:tr>
      <w:tr>
        <w:tc>
          <w:tcPr>
            <w:tcW w:type="dxa" w:w="1927"/>
          </w:tcPr>
          <w:p>
            <w:r>
              <w:t xml:space="preserve">Интеграции</w:t>
            </w:r>
          </w:p>
        </w:tc>
        <w:tc>
          <w:tcPr>
            <w:tcW w:type="dxa" w:w="1927"/>
          </w:tcPr>
          <w:p>
            <w:r>
              <w:t xml:space="preserve">IDE, CI, GitHub-расширение</w:t>
            </w:r>
          </w:p>
        </w:tc>
        <w:tc>
          <w:tcPr>
            <w:tcW w:type="dxa" w:w="1927"/>
          </w:tcPr>
          <w:p>
            <w:r>
              <w:t xml:space="preserve">GitHub/GitLab/Notion нативно</w:t>
            </w:r>
          </w:p>
        </w:tc>
        <w:tc>
          <w:tcPr>
            <w:tcW w:type="dxa" w:w="1927"/>
          </w:tcPr>
          <w:p>
            <w:r>
              <w:t xml:space="preserve">Не выяснено</w:t>
            </w:r>
          </w:p>
        </w:tc>
        <w:tc>
          <w:tcPr>
            <w:tcW w:type="dxa" w:w="1927"/>
          </w:tcPr>
          <w:p>
            <w:r>
              <w:t xml:space="preserve">GitHub/Notion/Confluence/VS Code</w:t>
            </w:r>
          </w:p>
        </w:tc>
      </w:tr>
      <w:tr>
        <w:tc>
          <w:tcPr>
            <w:tcW w:type="dxa" w:w="1927"/>
          </w:tcPr>
          <w:p>
            <w:r>
              <w:t xml:space="preserve">Доказательства доверия на сайте</w:t>
            </w:r>
          </w:p>
        </w:tc>
        <w:tc>
          <w:tcPr>
            <w:tcW w:type="dxa" w:w="1927"/>
          </w:tcPr>
          <w:p>
            <w:r>
              <w:t xml:space="preserve">Многолетняя история, широкое community</w:t>
            </w:r>
          </w:p>
        </w:tc>
        <w:tc>
          <w:tcPr>
            <w:tcW w:type="dxa" w:w="1927"/>
          </w:tcPr>
          <w:p>
            <w:r>
              <w:t xml:space="preserve">То же + список контрибьюторов на сайте</w:t>
            </w:r>
          </w:p>
        </w:tc>
        <w:tc>
          <w:tcPr>
            <w:tcW w:type="dxa" w:w="1927"/>
          </w:tcPr>
          <w:p>
            <w:r>
              <w:t xml:space="preserve">Не выяснено</w:t>
            </w:r>
          </w:p>
        </w:tc>
        <w:tc>
          <w:tcPr>
            <w:tcW w:type="dxa" w:w="1927"/>
          </w:tcPr>
          <w:p>
            <w:r>
              <w:t xml:space="preserve">Не собирались (нет отзывов G2/Capterra в рамках доступного исследования)</w:t>
            </w:r>
          </w:p>
        </w:tc>
      </w:tr>
      <w:tr>
        <w:tc>
          <w:tcPr>
            <w:tcW w:type="dxa" w:w="1927"/>
          </w:tcPr>
          <w:p>
            <w:r>
              <w:t xml:space="preserve">Партнёрства</w:t>
            </w:r>
          </w:p>
        </w:tc>
        <w:tc>
          <w:tcPr>
            <w:tcW w:type="dxa" w:w="1927"/>
          </w:tcPr>
          <w:p>
            <w:r>
              <w:t xml:space="preserve">Встроен в десятки IDE</w:t>
            </w:r>
          </w:p>
        </w:tc>
        <w:tc>
          <w:tcPr>
            <w:tcW w:type="dxa" w:w="1927"/>
          </w:tcPr>
          <w:p>
            <w:r>
              <w:t xml:space="preserve">Встроен в GitHub/GitLab/Notion как платформенный стандарт</w:t>
            </w:r>
          </w:p>
        </w:tc>
        <w:tc>
          <w:tcPr>
            <w:tcW w:type="dxa" w:w="1927"/>
          </w:tcPr>
          <w:p>
            <w:r>
              <w:t xml:space="preserve">Не выяснено</w:t>
            </w:r>
          </w:p>
        </w:tc>
        <w:tc>
          <w:tcPr>
            <w:tcW w:type="dxa" w:w="1927"/>
          </w:tcPr>
          <w:p>
            <w:r>
              <w:t xml:space="preserve">GitHub/Notion/Confluence как маркетплейс-партнёры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7. Итоговые гипотезы для проверки (методика §11.4/§13.1 — структурированный список, а не рассеянные упоминания в прозе)</w:t>
      </w:r>
    </w:p>
    <w:p>
      <w:pPr>
        <w:spacing w:after="80"/>
      </w:pPr>
      <w:r>
        <w:t xml:space="preserve">1. </w:t>
      </w:r>
      <w:r>
        <w:rPr>
          <w:b/>
          <w:bCs/>
        </w:rPr>
        <w:t xml:space="preserve">Копировать</w:t>
      </w:r>
      <w:r>
        <w:t xml:space="preserve"> (рыночный стандарт, обязателен): текстовый DSL, браузерный рендер, интеграция с GitHub.</w:t>
      </w:r>
    </w:p>
    <w:p>
      <w:pPr>
        <w:spacing w:after="80"/>
      </w:pPr>
      <w:r>
        <w:t xml:space="preserve">2. </w:t>
      </w:r>
      <w:r>
        <w:rPr>
          <w:b/>
          <w:bCs/>
        </w:rPr>
        <w:t xml:space="preserve">Не копировать напрямую</w:t>
      </w:r>
      <w:r>
        <w:t xml:space="preserve">: ценовую модель Eraser.io «как есть» — она рассчитана на глобальный рынок с венчурным финансированием; для СНГ-сегмента нужна более дешёвая точка входа (см. ЛР2-3, допущение $8/участник/мес).</w:t>
      </w:r>
    </w:p>
    <w:p>
      <w:pPr>
        <w:spacing w:after="80"/>
      </w:pPr>
      <w:r>
        <w:t xml:space="preserve">3. </w:t>
      </w:r>
      <w:r>
        <w:rPr>
          <w:b/>
          <w:bCs/>
        </w:rPr>
        <w:t xml:space="preserve">Проверить в первую очередь</w:t>
      </w:r>
      <w:r>
        <w:t xml:space="preserve">: готовы ли реальные ПВТ-команды платить именно за охват нотаций (а не за AI как таковой) — это ключевая недоказанная гипотеза дифференциации.</w:t>
      </w:r>
    </w:p>
    <w:p>
      <w:pPr>
        <w:spacing w:after="80"/>
      </w:pPr>
      <w:r>
        <w:t xml:space="preserve">4. </w:t>
      </w:r>
      <w:r>
        <w:rPr>
          <w:b/>
          <w:bCs/>
        </w:rPr>
        <w:t xml:space="preserve">Исключить из первого релиза</w:t>
      </w:r>
      <w:r>
        <w:t xml:space="preserve">: SSO/enterprise-функции — по модели Кано это «безразличная» категория для стартового сегмента малых команд.</w:t>
      </w:r>
    </w:p>
    <w:p>
      <w:pPr>
        <w:pStyle w:val="Heading1"/>
        <w:spacing w:after="120" w:before="240"/>
      </w:pPr>
      <w:r>
        <w:t xml:space="preserve">8. Ограничения анализа (обязательный раздел по всем трём методичкам ЛР5 — ранее отсутствовал)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Анализ основан на публичных страницах сайтов конкурентов — не раскрывает фактическую конверсию, объём платящих пользователей, маржинальность или причины оттока.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Для 3 из 7 прямых/близких конкурентов не собраны данные SimilarWeb (лимит бесплatного доступа исчерпан после 2 доменов — см. ЛР2-3), поэтому индекс концентрации рынка (CR3/CR5) по всей выборке не может быть посчитан.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Оценки по 8 критериям (0–4 балла) — экспертные, основанные на изучении публичных страниц одним исследователем; не проходили независимую валидацию вторым оценщиком, что методика указывает как источник субъективной погрешности.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Цены и лимиты AI-кредитов конкурентов могут измениться после даты снятия (2026-09-17) — конкурентные тарифы одни из самых волатильных данных согласно методике.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2026-09-22T12:57:35.006Z</dcterms:created>
  <dcterms:modified xsi:type="dcterms:W3CDTF">2026-09-22T12:57:35.007Z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