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ЛР4. Пять сил Портера (адаптировано для e-business) + барьеры входа/выхода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 в границах рынка, зафиксированных в ЛР1 (русскоязычные IT-команды, инструменты «диаграмма как код» с AI-генерацией).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(1) шкала матрицы приведена к строго дискретным 1/3/5, как того требует методика (в предыдущей версии стояли «4», не входящие в допустимую шкалу); (2) «средневзвешенная» переименована в «среднее» — весов в расчёте не было, это была ошибка терминологии; (3) цифровые факторы разложены на 6 отдельных признаков вместо одной смешанной строки; (4) добавлен отдельный SimilarWeb-скоринг барьеров по методике `metodika_ocenki_urovnya_konkurencii_i_barerov_vhoda_similarweb.docx` — раньше эта методика вообще не применялась; (5) барьеры входа приведены к перечню самой методики Портера (§7), а не к самодельному списку; (6) барьеры выхода вынесены как дополнение вне методики ЛР4, поскольку ни один из трёх исходных документов их не упоминает.</w:t>
      </w:r>
    </w:p>
    <w:p>
      <w:pPr>
        <w:pStyle w:val="Heading1"/>
        <w:spacing w:after="120" w:before="240"/>
      </w:pPr>
      <w:r>
        <w:t xml:space="preserve">1. Матрица пяти сил (шкала строго 1/3/5, методика `metodika_5_sil_portera_elektronnyy_biznes.docx`, §12)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Сила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 (с реальными данными)</w:t>
            </w:r>
          </w:p>
        </w:tc>
      </w:tr>
      <w:tr>
        <w:tc>
          <w:tcPr>
            <w:tcW w:type="dxa" w:w="3212"/>
          </w:tcPr>
          <w:p>
            <w:r>
              <w:t xml:space="preserve">Конкуренция между существующими игроками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Категория заполнена: PlantUML (открытый, встроен в IDE/CI, устойчивый рост интереса — ЛР1), Mermaid (открытый + коммерческий MermaidChart), D2, Eraser.io (венчурный стартап с AI и полноценным прайсингом — см. ЛР2-3)</w:t>
            </w:r>
          </w:p>
        </w:tc>
      </w:tr>
      <w:tr>
        <w:tc>
          <w:tcPr>
            <w:tcW w:type="dxa" w:w="3212"/>
          </w:tcPr>
          <w:p>
            <w:r>
              <w:t xml:space="preserve">Угроза новых участников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Технический вход дешёвый (открытые парсер-генераторы, LLM API по подписке), особенно на фоне общего бума AI-инструментов для разработчиков. Реальный барьер — не технология, а доверие/сообщество/интеграции (GitHub, VS Code marketplace)</w:t>
            </w:r>
          </w:p>
        </w:tc>
      </w:tr>
      <w:tr>
        <w:tc>
          <w:tcPr>
            <w:tcW w:type="dxa" w:w="3212"/>
          </w:tcPr>
          <w:p>
            <w:r>
              <w:t xml:space="preserve">Сила покупателей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Разработчики легко переключаются между бесплатными альтернативами (PlantUML/Mermaid — открытый исходный код, $0). Издержки переключения растут только после накопления истории версий в DiagramCode</w:t>
            </w:r>
          </w:p>
        </w:tc>
      </w:tr>
      <w:tr>
        <w:tc>
          <w:tcPr>
            <w:tcW w:type="dxa" w:w="3212"/>
          </w:tcPr>
          <w:p>
            <w:r>
              <w:t xml:space="preserve">Сила поставщиков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Зависимость от LLM/VLM-провайдера и облачной инфраструктуры реальна, но частично снижена архитектурным решением: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 — Strategy-паттерн (</w:t>
            </w:r>
            <w:r>
              <w:rPr>
                <w:rFonts w:ascii="Consolas" w:cs="Consolas" w:eastAsia="Consolas" w:hAnsi="Consolas"/>
              </w:rPr>
              <w:t xml:space="preserve">backend/app/domain/interfaces.py</w:t>
            </w:r>
            <w:r>
              <w:t xml:space="preserve">), провайдер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 без изменения кода — этого достаточно для «средней», а не «высокой» оценки</w:t>
            </w:r>
          </w:p>
        </w:tc>
      </w:tr>
      <w:tr>
        <w:tc>
          <w:tcPr>
            <w:tcW w:type="dxa" w:w="3212"/>
          </w:tcPr>
          <w:p>
            <w:r>
              <w:t xml:space="preserve">Угроза заменителей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Draw.io/Lucidchart/Visio, Figma, обычная текстовая документация, ручное рисование — реальные заменители с нулевой стоимостью перехода</w:t>
            </w:r>
          </w:p>
        </w:tc>
      </w:tr>
      <w:tr>
        <w:tc>
          <w:tcPr>
            <w:tcW w:type="dxa" w:w="3212"/>
          </w:tcPr>
          <w:p>
            <w:r>
              <w:t xml:space="preserve">Цифровые усилители (сводно, детализация — раздел 2)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Сводная оценка шести факторов из раздела 2 — большинство пока слабо выражены (продукт на раннем этапе), поэтому средняя, а не высокая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Среднее значение</w:t>
      </w:r>
      <w:r>
        <w:t xml:space="preserve"> *(не взвешенное — весов методика не задаёт)*: (5+5+5+3+5+3) / 6 ≈ </w:t>
      </w:r>
      <w:r>
        <w:rPr>
          <w:b/>
          <w:bCs/>
        </w:rPr>
        <w:t xml:space="preserve">4,33 → высокое конкурентное давление</w:t>
      </w:r>
      <w:r>
        <w:t xml:space="preserve"> (полоса 3,6–5,0 по методике §13, без «очень высокого» — такой градации в этой методике нет; термин «очень высокий» встречается только в отдельной SimilarWeb-методике, раздел 4 ниже, и относится к другой шкале).</w:t>
      </w:r>
    </w:p>
    <w:p>
      <w:pPr>
        <w:pStyle w:val="Heading1"/>
        <w:spacing w:after="120" w:before="240"/>
      </w:pPr>
      <w:r>
        <w:t xml:space="preserve">2. Дополнительные цифровые факторы (методика §11, 6 отдельных признаков)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Фактор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Сетевые эффекты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Совместное редактирование — только Волна 2, ещё не реализовано; ценность продукта пока не растёт с числом пользователей</w:t>
            </w:r>
          </w:p>
        </w:tc>
      </w:tr>
      <w:tr>
        <w:tc>
          <w:tcPr>
            <w:tcW w:type="dxa" w:w="3212"/>
          </w:tcPr>
          <w:p>
            <w:r>
              <w:t xml:space="preserve">Данные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Нет накопленной обучающей выборки по AI-генерации, нет истории использования для персонализации</w:t>
            </w:r>
          </w:p>
        </w:tc>
      </w:tr>
      <w:tr>
        <w:tc>
          <w:tcPr>
            <w:tcW w:type="dxa" w:w="3212"/>
          </w:tcPr>
          <w:p>
            <w:r>
              <w:t xml:space="preserve">Алгоритмическая видимость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Часть открытия продукта зависит от поисковой выдачи и GitHub-экосистемы (см. ЛР1: рост «text to diagram»)</w:t>
            </w:r>
          </w:p>
        </w:tc>
      </w:tr>
      <w:tr>
        <w:tc>
          <w:tcPr>
            <w:tcW w:type="dxa" w:w="3212"/>
          </w:tcPr>
          <w:p>
            <w:r>
              <w:t xml:space="preserve">Платформенная зависимость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Продукт не работает изнутри чужой платформы (в отличие от Mermaid, встроенного в GitHub рендер), но распространение частично зависит от GitHub-экосистемы</w:t>
            </w:r>
          </w:p>
        </w:tc>
      </w:tr>
      <w:tr>
        <w:tc>
          <w:tcPr>
            <w:tcW w:type="dxa" w:w="3212"/>
          </w:tcPr>
          <w:p>
            <w:r>
              <w:t xml:space="preserve">Издержки переключения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На раннем этапе нет платящих пользователей с накопленной историей — переключиться от DiagramCode пока некуда «терять»</w:t>
            </w:r>
          </w:p>
        </w:tc>
      </w:tr>
      <w:tr>
        <w:tc>
          <w:tcPr>
            <w:tcW w:type="dxa" w:w="3212"/>
          </w:tcPr>
          <w:p>
            <w:r>
              <w:t xml:space="preserve">Экосистемная связанность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Продукт не привязан к экосистеме (в отличие от, например, Microsoft Visio + Microsoft 365)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Среднее по 6 факторам: (1+1+3+3+1+1)/6 ≈ 1,67 — низкая-средняя выраженность в сумме, округлено до </w:t>
      </w:r>
      <w:r>
        <w:rPr>
          <w:b/>
          <w:bCs/>
        </w:rPr>
        <w:t xml:space="preserve">3</w:t>
      </w:r>
      <w:r>
        <w:t xml:space="preserve"> в сводной строке раздела 1 (консервативно, чтобы не занижать риск: платформенная зависимость и видимость в поиске реальны уже сейчас).</w:t>
      </w:r>
    </w:p>
    <w:p>
      <w:pPr>
        <w:pStyle w:val="Heading1"/>
        <w:spacing w:after="120" w:before="240"/>
      </w:pPr>
      <w:r>
        <w:t xml:space="preserve">3. Интерпретация по 2×2 (методика §13)</w:t>
      </w:r>
    </w:p>
    <w:p>
      <w:pPr>
        <w:spacing w:after="120"/>
      </w:pPr>
      <w:r>
        <w:t xml:space="preserve">Рынок «диаграмма как код» — это </w:t>
      </w:r>
      <w:r>
        <w:rPr>
          <w:b/>
          <w:bCs/>
        </w:rPr>
        <w:t xml:space="preserve">высокая конкуренция + растущий спрос</w:t>
      </w:r>
      <w:r>
        <w:t xml:space="preserve"> (растущий спрос подтверждён в ЛР1 через тренд </w:t>
      </w:r>
      <w:r>
        <w:rPr>
          <w:rFonts w:ascii="Consolas" w:cs="Consolas" w:eastAsia="Consolas" w:hAnsi="Consolas"/>
        </w:rPr>
        <w:t xml:space="preserve">text to diagram</w:t>
      </w:r>
      <w:r>
        <w:t xml:space="preserve">). Согласно методике, это означает: рынок есть, но вход дорогой — нужно искать нишу, а не конкурировать по всему фронту сразу с PlantUML/Mermaid/Eraser.io.</w:t>
      </w:r>
    </w:p>
    <w:p>
      <w:pPr>
        <w:spacing w:after="120"/>
      </w:pPr>
      <w:r>
        <w:rPr>
          <w:b/>
          <w:bCs/>
        </w:rPr>
        <w:t xml:space="preserve">Практический вывод для DiagramCode</w:t>
      </w:r>
      <w:r>
        <w:t xml:space="preserve">: не конкурировать с PlantUML/Mermaid за «бесплатный DSL-рендер» (рыночный стандарт, воспроизвести бесплатно несложно) и не конкурировать с Eraser.io напрямую по фиче-листу — а занять нишу </w:t>
      </w:r>
      <w:r>
        <w:rPr>
          <w:b/>
          <w:bCs/>
        </w:rPr>
        <w:t xml:space="preserve">AI-генерация + git-подобное версионирование + весь набор инженерных нотаций (UML/ERD/IDEF/BPMN/сети Петри) в одном инструменте</w:t>
      </w:r>
      <w:r>
        <w:t xml:space="preserve">.</w:t>
      </w:r>
    </w:p>
    <w:p>
      <w:pPr>
        <w:pStyle w:val="Heading1"/>
        <w:spacing w:after="120" w:before="240"/>
      </w:pPr>
      <w:r>
        <w:t xml:space="preserve">4. Барьеры конкуренции и входа через SimilarWeb (методика `metodika_ocenki_urovnya_konkurencii_i_barerov_vhoda_similarweb.docx`) — применяется впервые в этой ревизии</w:t>
      </w:r>
    </w:p>
    <w:p>
      <w:pPr>
        <w:spacing w:after="120"/>
      </w:pPr>
      <w:r>
        <w:t xml:space="preserve">Эта методика ранее не применялась вообще — оценка ниже сделана впервые, отдельно от матрицы Портера (у неё своя, непрерывная шкала 1,0–5,0, а не дискретная 1/3/5, поэтому смешивать её с разделом 1 нельзя).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 (1–5)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Количество релевантных конкурентов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5 реальных игроков идентифицированы в ЛР5 (PlantUML, Mermaid/MermaidChart, Eraser.io, D2)</w:t>
            </w:r>
          </w:p>
        </w:tc>
      </w:tr>
      <w:tr>
        <w:tc>
          <w:tcPr>
            <w:tcW w:type="dxa" w:w="3212"/>
          </w:tcPr>
          <w:p>
            <w:r>
              <w:t xml:space="preserve">Концентрация трафика (CR3/CR5)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не рассчитано</w:t>
            </w:r>
          </w:p>
        </w:tc>
        <w:tc>
          <w:tcPr>
            <w:tcW w:type="dxa" w:w="3212"/>
          </w:tcPr>
          <w:p>
            <w:r>
              <w:t xml:space="preserve">Полные данные SimilarWeb получены только по 2 доменам из 5 (лимит бесплатного тарифа, см. ЛР2-3) — на выборке n=2 индекс концентрации даст ложную точность, честно не считается, а не выдумывается</w:t>
            </w:r>
          </w:p>
        </w:tc>
      </w:tr>
      <w:tr>
        <w:tc>
          <w:tcPr>
            <w:tcW w:type="dxa" w:w="3212"/>
          </w:tcPr>
          <w:p>
            <w:r>
              <w:t xml:space="preserve">Стоимость входа в каналы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Платный поиск/реклама по категории конкурентный (высокий интерес к «text to diagram», ЛР1)</w:t>
            </w:r>
          </w:p>
        </w:tc>
      </w:tr>
      <w:tr>
        <w:tc>
          <w:tcPr>
            <w:tcW w:type="dxa" w:w="3212"/>
          </w:tcPr>
          <w:p>
            <w:r>
              <w:t xml:space="preserve">Поисковая конкуренция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PlantUML доминирует по устойчивому индексу интереса (ЛР1, среднее 41 из 100)</w:t>
            </w:r>
          </w:p>
        </w:tc>
      </w:tr>
      <w:tr>
        <w:tc>
          <w:tcPr>
            <w:tcW w:type="dxa" w:w="3212"/>
          </w:tcPr>
          <w:p>
            <w:r>
              <w:t xml:space="preserve">Рекламная конкуренция</w:t>
            </w:r>
          </w:p>
        </w:tc>
        <w:tc>
          <w:tcPr>
            <w:tcW w:type="dxa" w:w="3212"/>
          </w:tcPr>
          <w:p>
            <w:r>
              <w:t xml:space="preserve">3</w:t>
            </w:r>
          </w:p>
        </w:tc>
        <w:tc>
          <w:tcPr>
            <w:tcW w:type="dxa" w:w="3212"/>
          </w:tcPr>
          <w:p>
            <w:r>
              <w:t xml:space="preserve">Прямых данных по рекламным ставкам нет — оценка экспертная, требует проверки через Google/Meta Ad Library</w:t>
            </w:r>
          </w:p>
        </w:tc>
      </w:tr>
      <w:tr>
        <w:tc>
          <w:tcPr>
            <w:tcW w:type="dxa" w:w="3212"/>
          </w:tcPr>
          <w:p>
            <w:r>
              <w:t xml:space="preserve">Репутационный барьер</w:t>
            </w:r>
          </w:p>
        </w:tc>
        <w:tc>
          <w:tcPr>
            <w:tcW w:type="dxa" w:w="3212"/>
          </w:tcPr>
          <w:p>
            <w:r>
              <w:t xml:space="preserve">5</w:t>
            </w:r>
          </w:p>
        </w:tc>
        <w:tc>
          <w:tcPr>
            <w:tcW w:type="dxa" w:w="3212"/>
          </w:tcPr>
          <w:p>
            <w:r>
              <w:t xml:space="preserve">PlantUML — открытый проект с многолетней историей и community trust, DiagramCode стартует с нуля</w:t>
            </w:r>
          </w:p>
        </w:tc>
      </w:tr>
      <w:tr>
        <w:tc>
          <w:tcPr>
            <w:tcW w:type="dxa" w:w="3212"/>
          </w:tcPr>
          <w:p>
            <w:r>
              <w:t xml:space="preserve">Технологический барьер</w:t>
            </w:r>
          </w:p>
        </w:tc>
        <w:tc>
          <w:tcPr>
            <w:tcW w:type="dxa" w:w="3212"/>
          </w:tcPr>
          <w:p>
            <w:r>
              <w:t xml:space="preserve">2</w:t>
            </w:r>
          </w:p>
        </w:tc>
        <w:tc>
          <w:tcPr>
            <w:tcW w:type="dxa" w:w="3212"/>
          </w:tcPr>
          <w:p>
            <w:r>
              <w:t xml:space="preserve">Технически воспроизводимо быстро (открытые парсер-генераторы)</w:t>
            </w:r>
          </w:p>
        </w:tc>
      </w:tr>
      <w:tr>
        <w:tc>
          <w:tcPr>
            <w:tcW w:type="dxa" w:w="3212"/>
          </w:tcPr>
          <w:p>
            <w:r>
              <w:t xml:space="preserve">Издержки переключения клиента</w:t>
            </w:r>
          </w:p>
        </w:tc>
        <w:tc>
          <w:tcPr>
            <w:tcW w:type="dxa" w:w="3212"/>
          </w:tcPr>
          <w:p>
            <w:r>
              <w:t xml:space="preserve">2</w:t>
            </w:r>
          </w:p>
        </w:tc>
        <w:tc>
          <w:tcPr>
            <w:tcW w:type="dxa" w:w="3212"/>
          </w:tcPr>
          <w:p>
            <w:r>
              <w:t xml:space="preserve">Низкие на входе, растут только после накопления истории версий в DiagramCode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Среднее по 6 заполненным критериям (концентрация исключена как нерассчитанная): (4+4+4+3+5+2+2)/7 ≈ </w:t>
      </w:r>
      <w:r>
        <w:rPr>
          <w:b/>
          <w:bCs/>
        </w:rPr>
        <w:t xml:space="preserve">3,43 → высокий уровень барьеров/конкуренции</w:t>
      </w:r>
      <w:r>
        <w:t xml:space="preserve"> (полоса 3,1–4,0 по интерпретации этой методики, §6).</w:t>
      </w:r>
    </w:p>
    <w:p>
      <w:pPr>
        <w:spacing w:after="120"/>
      </w:pPr>
      <w:r>
        <w:rPr>
          <w:b/>
          <w:bCs/>
        </w:rPr>
        <w:t xml:space="preserve">Не выполнено и честно зафиксировано как ограничение</w:t>
      </w:r>
      <w:r>
        <w:t xml:space="preserve">: CR3/CR5, проверка технологического стека конкурентов через BuiltWith/Wappalyzer, данные об отзывах через G2/Capterra/Trustpilot — все это требует платного доступа к инструментам, которого нет в рамках бесплатного исследования.</w:t>
      </w:r>
    </w:p>
    <w:p>
      <w:pPr>
        <w:pStyle w:val="Heading1"/>
        <w:spacing w:after="120" w:before="240"/>
      </w:pPr>
      <w:r>
        <w:t xml:space="preserve">5. Барьеры входа (по перечню самой методики Портера, §7 «Угроза новых участников»)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Барьер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Как проявляется для DiagramCode</w:t>
            </w:r>
          </w:p>
        </w:tc>
      </w:tr>
      <w:tr>
        <w:tc>
          <w:tcPr>
            <w:tcW w:type="dxa" w:w="4819"/>
          </w:tcPr>
          <w:p>
            <w:r>
              <w:t xml:space="preserve">Трафик и реклама</w:t>
            </w:r>
          </w:p>
        </w:tc>
        <w:tc>
          <w:tcPr>
            <w:tcW w:type="dxa" w:w="4819"/>
          </w:tcPr>
          <w:p>
            <w:r>
              <w:t xml:space="preserve">Платный вход в категорию конкурентен (см. раздел 4); органика через GitHub/поиск — недорогой канал на старте (ЛР1)</w:t>
            </w:r>
          </w:p>
        </w:tc>
      </w:tr>
      <w:tr>
        <w:tc>
          <w:tcPr>
            <w:tcW w:type="dxa" w:w="4819"/>
          </w:tcPr>
          <w:p>
            <w:r>
              <w:t xml:space="preserve">Доверие</w:t>
            </w:r>
          </w:p>
        </w:tc>
        <w:tc>
          <w:tcPr>
            <w:tcW w:type="dxa" w:w="4819"/>
          </w:tcPr>
          <w:p>
            <w:r>
              <w:t xml:space="preserve">Ноль отзывов/кейсов на старте — придётся строить доверие с нуля против PlantUML с многолетней репутацией</w:t>
            </w:r>
          </w:p>
        </w:tc>
      </w:tr>
      <w:tr>
        <w:tc>
          <w:tcPr>
            <w:tcW w:type="dxa" w:w="4819"/>
          </w:tcPr>
          <w:p>
            <w:r>
              <w:t xml:space="preserve">Данные и аналитика</w:t>
            </w:r>
          </w:p>
        </w:tc>
        <w:tc>
          <w:tcPr>
            <w:tcW w:type="dxa" w:w="4819"/>
          </w:tcPr>
          <w:p>
            <w:r>
              <w:t xml:space="preserve">Нет накопленной клиентской базы/истории кампаний — то же, что «Данные» в разделе 2</w:t>
            </w:r>
          </w:p>
        </w:tc>
      </w:tr>
      <w:tr>
        <w:tc>
          <w:tcPr>
            <w:tcW w:type="dxa" w:w="4819"/>
          </w:tcPr>
          <w:p>
            <w:r>
              <w:t xml:space="preserve">Технологическая инфраструктура</w:t>
            </w:r>
          </w:p>
        </w:tc>
        <w:tc>
          <w:tcPr>
            <w:tcW w:type="dxa" w:w="4819"/>
          </w:tcPr>
          <w:p>
            <w:r>
              <w:t xml:space="preserve">Собственная грамматика DSL (Lark), рендер-движки, AI-интеграция — уже реализовано в архитектуре</w:t>
            </w:r>
          </w:p>
        </w:tc>
      </w:tr>
      <w:tr>
        <w:tc>
          <w:tcPr>
            <w:tcW w:type="dxa" w:w="4819"/>
          </w:tcPr>
          <w:p>
            <w:r>
              <w:t xml:space="preserve">Платформенные правила</w:t>
            </w:r>
          </w:p>
        </w:tc>
        <w:tc>
          <w:tcPr>
            <w:tcW w:type="dxa" w:w="4819"/>
          </w:tcPr>
          <w:p>
            <w:r>
              <w:t xml:space="preserve">Не зависим от правил конкретного маркетплейса (в отличие от продавцов на биржах) — низкий риск здесь</w:t>
            </w:r>
          </w:p>
        </w:tc>
      </w:tr>
      <w:tr>
        <w:tc>
          <w:tcPr>
            <w:tcW w:type="dxa" w:w="4819"/>
          </w:tcPr>
          <w:p>
            <w:r>
              <w:t xml:space="preserve">Сетевые эффекты</w:t>
            </w:r>
          </w:p>
        </w:tc>
        <w:tc>
          <w:tcPr>
            <w:tcW w:type="dxa" w:w="4819"/>
          </w:tcPr>
          <w:p>
            <w:r>
              <w:t xml:space="preserve">Пока отсутствуют (см. раздел 2) — ни барьер, ни защита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Дополнительно</w:t>
      </w:r>
      <w:r>
        <w:t xml:space="preserve"> (не из методики Портера, но по факту продукта): AI-квота (20 запросов/день по умолчанию) ограничивает операционную нагрузку; затраты на LLM API растут с базой пользователей — прямая зависимость юнит-экономики AI-режимов от стоимости внешнего провайдера.</w:t>
      </w:r>
    </w:p>
    <w:p>
      <w:pPr>
        <w:pStyle w:val="Heading1"/>
        <w:spacing w:after="120" w:before="240"/>
      </w:pPr>
      <w:r>
        <w:t xml:space="preserve">6. Барьеры выхода (дополнение — вне методик ЛР4, для полноты картины)</w:t>
      </w:r>
    </w:p>
    <w:p>
      <w:pPr>
        <w:spacing w:after="120"/>
      </w:pPr>
      <w:r>
        <w:t xml:space="preserve">Ни один из трёх методических документов ЛР4 не описывает барьеры выхода — раздел добавлен как полезное дополнение, не как обязательный по этой лабораторной элемент.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Барьер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Оценка для DiagramCode</w:t>
            </w:r>
          </w:p>
        </w:tc>
      </w:tr>
      <w:tr>
        <w:tc>
          <w:tcPr>
            <w:tcW w:type="dxa" w:w="4819"/>
          </w:tcPr>
          <w:p>
            <w:r>
              <w:t xml:space="preserve">Финансовые обязательства</w:t>
            </w:r>
          </w:p>
        </w:tc>
        <w:tc>
          <w:tcPr>
            <w:tcW w:type="dxa" w:w="4819"/>
          </w:tcPr>
          <w:p>
            <w:r>
              <w:t xml:space="preserve">Низкие — инфраструктура на условно-бесплатных тарифах (Render/Netlify/Neon), нет долгосрочных контрактов</w:t>
            </w:r>
          </w:p>
        </w:tc>
      </w:tr>
      <w:tr>
        <w:tc>
          <w:tcPr>
            <w:tcW w:type="dxa" w:w="4819"/>
          </w:tcPr>
          <w:p>
            <w:r>
              <w:t xml:space="preserve">Репутационные</w:t>
            </w:r>
          </w:p>
        </w:tc>
        <w:tc>
          <w:tcPr>
            <w:tcW w:type="dxa" w:w="4819"/>
          </w:tcPr>
          <w:p>
            <w:r>
              <w:t xml:space="preserve">Низкие на раннем этапе</w:t>
            </w:r>
          </w:p>
        </w:tc>
      </w:tr>
      <w:tr>
        <w:tc>
          <w:tcPr>
            <w:tcW w:type="dxa" w:w="4819"/>
          </w:tcPr>
          <w:p>
            <w:r>
              <w:t xml:space="preserve">Техническая зависимость</w:t>
            </w:r>
          </w:p>
        </w:tc>
        <w:tc>
          <w:tcPr>
            <w:tcW w:type="dxa" w:w="4819"/>
          </w:tcPr>
          <w:p>
            <w:r>
              <w:t xml:space="preserve">Средняя — DSL-грамматика и модели переиспользуемы в других контекстах</w:t>
            </w:r>
          </w:p>
        </w:tc>
      </w:tr>
      <w:tr>
        <w:tc>
          <w:tcPr>
            <w:tcW w:type="dxa" w:w="4819"/>
          </w:tcPr>
          <w:p>
            <w:r>
              <w:t xml:space="preserve">Данные пользователей</w:t>
            </w:r>
          </w:p>
        </w:tc>
        <w:tc>
          <w:tcPr>
            <w:tcW w:type="dxa" w:w="4819"/>
          </w:tcPr>
          <w:p>
            <w:r>
              <w:t xml:space="preserve">Средняя — версии диаграмм нужно будет экспортировать или гарантированно удалить при остановке</w:t>
            </w:r>
          </w:p>
        </w:tc>
      </w:tr>
      <w:tr>
        <w:tc>
          <w:tcPr>
            <w:tcW w:type="dxa" w:w="4819"/>
          </w:tcPr>
          <w:p>
            <w:r>
              <w:t xml:space="preserve">Командная нагрузка</w:t>
            </w:r>
          </w:p>
        </w:tc>
        <w:tc>
          <w:tcPr>
            <w:tcW w:type="dxa" w:w="4819"/>
          </w:tcPr>
          <w:p>
            <w:r>
              <w:t xml:space="preserve">Низкая на этапе одного разработчика/курсовой работы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7. Контрольный лист (методика §16, выборочная проверка ключевых пунктов)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Вопрос чек-листа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Ответ</w:t>
            </w:r>
          </w:p>
        </w:tc>
      </w:tr>
      <w:tr>
        <w:tc>
          <w:tcPr>
            <w:tcW w:type="dxa" w:w="4819"/>
          </w:tcPr>
          <w:p>
            <w:r>
              <w:t xml:space="preserve">Зафиксирован анализируемый рынок перед оценкой сил?</w:t>
            </w:r>
          </w:p>
        </w:tc>
        <w:tc>
          <w:tcPr>
            <w:tcW w:type="dxa" w:w="4819"/>
          </w:tcPr>
          <w:p>
            <w:r>
              <w:t xml:space="preserve">Да — границы ЛР1</w:t>
            </w:r>
          </w:p>
        </w:tc>
      </w:tr>
      <w:tr>
        <w:tc>
          <w:tcPr>
            <w:tcW w:type="dxa" w:w="4819"/>
          </w:tcPr>
          <w:p>
            <w:r>
              <w:t xml:space="preserve">Оценена каждая сила по единой шкале?</w:t>
            </w:r>
          </w:p>
        </w:tc>
        <w:tc>
          <w:tcPr>
            <w:tcW w:type="dxa" w:w="4819"/>
          </w:tcPr>
          <w:p>
            <w:r>
              <w:t xml:space="preserve">Да — раздел 1, строго 1/3/5</w:t>
            </w:r>
          </w:p>
        </w:tc>
      </w:tr>
      <w:tr>
        <w:tc>
          <w:tcPr>
            <w:tcW w:type="dxa" w:w="4819"/>
          </w:tcPr>
          <w:p>
            <w:r>
              <w:t xml:space="preserve">Собраны подтверждающие данные для каждой силы?</w:t>
            </w:r>
          </w:p>
        </w:tc>
        <w:tc>
          <w:tcPr>
            <w:tcW w:type="dxa" w:w="4819"/>
          </w:tcPr>
          <w:p>
            <w:r>
              <w:t xml:space="preserve">Частично — не для всех сил есть количественные данные (сила поставщиков и покупателей оценены качественно)</w:t>
            </w:r>
          </w:p>
        </w:tc>
      </w:tr>
      <w:tr>
        <w:tc>
          <w:tcPr>
            <w:tcW w:type="dxa" w:w="4819"/>
          </w:tcPr>
          <w:p>
            <w:r>
              <w:t xml:space="preserve">Отдельно оценены цифровые усилители?</w:t>
            </w:r>
          </w:p>
        </w:tc>
        <w:tc>
          <w:tcPr>
            <w:tcW w:type="dxa" w:w="4819"/>
          </w:tcPr>
          <w:p>
            <w:r>
              <w:t xml:space="preserve">Да — раздел 2, по 6 факторам отдельно</w:t>
            </w:r>
          </w:p>
        </w:tc>
      </w:tr>
      <w:tr>
        <w:tc>
          <w:tcPr>
            <w:tcW w:type="dxa" w:w="4819"/>
          </w:tcPr>
          <w:p>
            <w:r>
              <w:t xml:space="preserve">Сведены оценки в единую матрицу?</w:t>
            </w:r>
          </w:p>
        </w:tc>
        <w:tc>
          <w:tcPr>
            <w:tcW w:type="dxa" w:w="4819"/>
          </w:tcPr>
          <w:p>
            <w:r>
              <w:t xml:space="preserve">Да — раздел 1</w:t>
            </w:r>
          </w:p>
        </w:tc>
      </w:tr>
      <w:tr>
        <w:tc>
          <w:tcPr>
            <w:tcW w:type="dxa" w:w="4819"/>
          </w:tcPr>
          <w:p>
            <w:r>
              <w:t xml:space="preserve">Сформулирован вывод о привлекательности рынка?</w:t>
            </w:r>
          </w:p>
        </w:tc>
        <w:tc>
          <w:tcPr>
            <w:tcW w:type="dxa" w:w="4819"/>
          </w:tcPr>
          <w:p>
            <w:r>
              <w:t xml:space="preserve">Да — раздел 3</w:t>
            </w:r>
          </w:p>
        </w:tc>
      </w:tr>
      <w:tr>
        <w:tc>
          <w:tcPr>
            <w:tcW w:type="dxa" w:w="4819"/>
          </w:tcPr>
          <w:p>
            <w:r>
              <w:t xml:space="preserve">Определены стратегические последствия?</w:t>
            </w:r>
          </w:p>
        </w:tc>
        <w:tc>
          <w:tcPr>
            <w:tcW w:type="dxa" w:w="4819"/>
          </w:tcPr>
          <w:p>
            <w:r>
              <w:t xml:space="preserve">Да — раздел 3, ниша полного охвата нотаций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8. Итоговая формулировка</w:t>
      </w:r>
    </w:p>
    <w:p>
      <w:pPr>
        <w:spacing w:after="120"/>
      </w:pPr>
      <w:r>
        <w:t xml:space="preserve">Адаптированный анализ пяти сил Портера показывает, что конкурентная среда рынка «диаграмма как код» определяется прежде всего высокой силой покупателей (лёгкость сравнения с бесплатными PlantUML/Mermaid) и высокой угрозой заменителей (визуальные редакторы, ручная работа), а не числом прямых конкурентов. Независимая SimilarWeb-оценка барьеров (раздел 4) подтверждает высокий уровень конкурентного барьера (≈3,43 из 5), главным образом за счёт репутационного барьера и поисковой конкуренции. Привлекательность рынка оценивается как умеренная при условии узкой специализации: DiagramCode может закрепиться, если позиционируется не как «ещё один DSL-рендерер», а как единственный инструмент, сочетающий полный охват инженерных нотаций, git-подобное версионирование и AI-генерацию в одном продукте.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2026-09-22T12:54:26.548Z</dcterms:created>
  <dcterms:modified xsi:type="dcterms:W3CDTF">2026-09-22T12:54:26.549Z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