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Министерство образования Республики Беларусь</w:t>
      </w:r>
    </w:p>
    <w:p>
      <w:pPr>
        <w:spacing w:after="120"/>
        <w:jc w:val="center"/>
      </w:pPr>
      <w:r>
        <w:t xml:space="preserve">Учреждение образования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</w:rPr>
        <w:t xml:space="preserve">БЕЛОРУССКИЙ ГОСУДАРСТВЕННЫЙ УНИВЕРСИТЕТ</w:t>
      </w:r>
    </w:p>
    <w:p>
      <w:pPr>
        <w:spacing w:after="120"/>
        <w:jc w:val="center"/>
      </w:pPr>
      <w:r>
        <w:rPr>
          <w:b/>
          <w:bCs/>
        </w:rPr>
        <w:t xml:space="preserve">ИНФОРМАТИКИ И РАДИОЭЛЕКТРОНИКИ</w:t>
      </w:r>
    </w:p>
    <w:p>
      <w:pPr>
        <w:spacing w:after="200"/>
      </w:pPr>
    </w:p>
    <w:p>
      <w:pPr>
        <w:spacing w:after="120"/>
        <w:jc w:val="center"/>
      </w:pPr>
      <w:r>
        <w:t xml:space="preserve">Факультет информационных технологий и управления</w:t>
      </w:r>
    </w:p>
    <w:p>
      <w:pPr>
        <w:spacing w:after="120"/>
        <w:jc w:val="center"/>
      </w:pPr>
      <w:r>
        <w:t xml:space="preserve">Кафедра информационных технологий автоматизированных систем</w:t>
      </w:r>
    </w:p>
    <w:p>
      <w:pPr>
        <w:spacing w:after="800"/>
      </w:pP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по лабораторным работам №1-7</w:t>
      </w:r>
    </w:p>
    <w:p>
      <w:pPr>
        <w:spacing w:after="120"/>
        <w:jc w:val="center"/>
      </w:pPr>
      <w:r>
        <w:rPr>
          <w:sz w:val="26"/>
          <w:szCs w:val="26"/>
        </w:rPr>
        <w:t xml:space="preserve">по дисциплине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«Электронный бизнес»</w:t>
      </w:r>
    </w:p>
    <w:p>
      <w:pPr>
        <w:spacing w:after="200"/>
      </w:pPr>
    </w:p>
    <w:p>
      <w:pPr>
        <w:spacing w:after="120"/>
        <w:jc w:val="center"/>
      </w:pPr>
      <w:r>
        <w:rPr>
          <w:i/>
          <w:iCs/>
        </w:rPr>
        <w:t xml:space="preserve">Объект анализа: сервис DiagramCode</w:t>
      </w:r>
    </w:p>
    <w:p>
      <w:pPr>
        <w:spacing w:after="10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819"/>
          </w:tcPr>
          <w:p>
            <w:r>
              <w:t xml:space="preserve">Выполнила: ст. гр. 320604</w:t>
            </w:r>
          </w:p>
        </w:tc>
        <w:tc>
          <w:tcPr>
            <w:tcW w:type="dxa" w:w="4819"/>
          </w:tcPr>
          <w:p>
            <w:r>
              <w:t xml:space="preserve">Проверил(а): [ФИО преподавателя]</w:t>
            </w:r>
          </w:p>
        </w:tc>
      </w:tr>
      <w:tr>
        <w:tc>
          <w:tcPr>
            <w:tcW w:type="dxa" w:w="4819"/>
          </w:tcPr>
          <w:p>
            <w:r>
              <w:t xml:space="preserve">К. А. Хаджинова</w:t>
            </w:r>
          </w:p>
        </w:tc>
        <w:tc>
          <w:tcPr>
            <w:tcW w:type="dxa" w:w="4819"/>
          </w:tcPr>
          <w:p>
            <w:r>
              <w:t xml:space="preserve"/>
            </w:r>
          </w:p>
        </w:tc>
      </w:tr>
    </w:tbl>
    <w:p>
      <w:pPr>
        <w:spacing w:after="1200"/>
      </w:pPr>
    </w:p>
    <w:p>
      <w:pPr>
        <w:spacing w:after="120"/>
        <w:jc w:val="center"/>
      </w:pPr>
      <w:r>
        <w:t xml:space="preserve">Минск 2026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СОДЕРЖАНИЕ</w:t>
      </w:r>
    </w:p>
    <w:p>
      <w:pPr>
        <w:spacing w:after="200"/>
      </w:pPr>
    </w:p>
    <w:p>
      <w:pPr>
        <w:spacing w:after="100"/>
      </w:pPr>
      <w:r>
        <w:t xml:space="preserve">0  Паспорт итогового отчёта</w:t>
      </w:r>
    </w:p>
    <w:p>
      <w:pPr>
        <w:spacing w:after="100"/>
      </w:pPr>
      <w:r>
        <w:t xml:space="preserve">1  Резюме проекта</w:t>
      </w:r>
    </w:p>
    <w:p>
      <w:pPr>
        <w:spacing w:after="100"/>
      </w:pPr>
      <w:r>
        <w:t xml:space="preserve">2  Идея и исходная гипотеза</w:t>
      </w:r>
    </w:p>
    <w:p>
      <w:pPr>
        <w:spacing w:after="100"/>
      </w:pPr>
      <w:r>
        <w:t xml:space="preserve">3  Аргументация спроса: Google Trends и Яндекс Вордстат</w:t>
      </w:r>
    </w:p>
    <w:p>
      <w:pPr>
        <w:spacing w:after="100"/>
      </w:pPr>
      <w:r>
        <w:t xml:space="preserve">4  Границы и размер рынка</w:t>
      </w:r>
    </w:p>
    <w:p>
      <w:pPr>
        <w:spacing w:after="100"/>
      </w:pPr>
      <w:r>
        <w:t xml:space="preserve">5  Конкурентная среда и уровни конкуренции</w:t>
      </w:r>
    </w:p>
    <w:p>
      <w:pPr>
        <w:spacing w:after="100"/>
      </w:pPr>
      <w:r>
        <w:t xml:space="preserve">6  Барьеры входа и выхода</w:t>
      </w:r>
    </w:p>
    <w:p>
      <w:pPr>
        <w:spacing w:after="100"/>
      </w:pPr>
      <w:r>
        <w:t xml:space="preserve">7  Проблемы пользователей и рыночные пробелы</w:t>
      </w:r>
    </w:p>
    <w:p>
      <w:pPr>
        <w:spacing w:after="100"/>
      </w:pPr>
      <w:r>
        <w:t xml:space="preserve">8  Ценностное предложение и цифровой товар</w:t>
      </w:r>
    </w:p>
    <w:p>
      <w:pPr>
        <w:spacing w:after="100"/>
      </w:pPr>
      <w:r>
        <w:t xml:space="preserve">9  Бизнес-модель по Канвас</w:t>
      </w:r>
    </w:p>
    <w:p>
      <w:pPr>
        <w:spacing w:after="100"/>
      </w:pPr>
      <w:r>
        <w:t xml:space="preserve">10  Пользовательские сценарии</w:t>
      </w:r>
    </w:p>
    <w:p>
      <w:pPr>
        <w:spacing w:after="100"/>
      </w:pPr>
      <w:r>
        <w:t xml:space="preserve">11  Страницы, экраны, контент и функционал</w:t>
      </w:r>
    </w:p>
    <w:p>
      <w:pPr>
        <w:spacing w:after="100"/>
      </w:pPr>
      <w:r>
        <w:t xml:space="preserve">12  Первый и последующие релизы</w:t>
      </w:r>
    </w:p>
    <w:p>
      <w:pPr>
        <w:spacing w:after="100"/>
      </w:pPr>
      <w:r>
        <w:t xml:space="preserve">13  Решение о целесообразности старта</w:t>
      </w:r>
    </w:p>
    <w:p>
      <w:pPr>
        <w:spacing w:after="100"/>
      </w:pPr>
      <w:r>
        <w:t xml:space="preserve">14  Приложения (карта доказательств, чек-лист, ТЗ, заключение)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 ПАСПОРТ ИТОГОВОГО ОТЧЁТА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Проект / идея</w:t>
            </w:r>
          </w:p>
        </w:tc>
        <w:tc>
          <w:tcPr>
            <w:tcW w:type="dxa" w:w="4819"/>
          </w:tcPr>
          <w:p>
            <w:r>
              <w:t xml:space="preserve">DiagramCode — сервис визуального моделирования диаграмм через собственный DSL</w:t>
            </w:r>
          </w:p>
        </w:tc>
      </w:tr>
      <w:tr>
        <w:tc>
          <w:tcPr>
            <w:tcW w:type="dxa" w:w="4819"/>
          </w:tcPr>
          <w:p>
            <w:r>
              <w:t xml:space="preserve">Инициатор</w:t>
            </w:r>
          </w:p>
        </w:tc>
        <w:tc>
          <w:tcPr>
            <w:tcW w:type="dxa" w:w="4819"/>
          </w:tcPr>
          <w:p>
            <w:r>
              <w:t xml:space="preserve">Ксения Хаджинова, ст. гр. 320604, БГУИР</w:t>
            </w:r>
          </w:p>
        </w:tc>
      </w:tr>
      <w:tr>
        <w:tc>
          <w:tcPr>
            <w:tcW w:type="dxa" w:w="4819"/>
          </w:tcPr>
          <w:p>
            <w:r>
              <w:t xml:space="preserve">Дата подготовки</w:t>
            </w:r>
          </w:p>
        </w:tc>
        <w:tc>
          <w:tcPr>
            <w:tcW w:type="dxa" w:w="4819"/>
          </w:tcPr>
          <w:p>
            <w:r>
              <w:t xml:space="preserve">2026-09-17 — 2026-09-18</w:t>
            </w:r>
          </w:p>
        </w:tc>
      </w:tr>
      <w:tr>
        <w:tc>
          <w:tcPr>
            <w:tcW w:type="dxa" w:w="4819"/>
          </w:tcPr>
          <w:p>
            <w:r>
              <w:t xml:space="preserve">География анализа</w:t>
            </w:r>
          </w:p>
        </w:tc>
        <w:tc>
          <w:tcPr>
            <w:tcW w:type="dxa" w:w="4819"/>
          </w:tcPr>
          <w:p>
            <w:r>
              <w:t xml:space="preserve">Старт — Беларусь (ПВТ) + русскоязычное СНГ; рост — глобальный рынок разработчиков</w:t>
            </w:r>
          </w:p>
        </w:tc>
      </w:tr>
      <w:tr>
        <w:tc>
          <w:tcPr>
            <w:tcW w:type="dxa" w:w="4819"/>
          </w:tcPr>
          <w:p>
            <w:r>
              <w:t xml:space="preserve">Тип цифрового товара</w:t>
            </w:r>
          </w:p>
        </w:tc>
        <w:tc>
          <w:tcPr>
            <w:tcW w:type="dxa" w:w="4819"/>
          </w:tcPr>
          <w:p>
            <w:r>
              <w:t xml:space="preserve">SaaS-инструмент для разработчиков (IDE-оболочка + API)</w:t>
            </w:r>
          </w:p>
        </w:tc>
      </w:tr>
      <w:tr>
        <w:tc>
          <w:tcPr>
            <w:tcW w:type="dxa" w:w="4819"/>
          </w:tcPr>
          <w:p>
            <w:r>
              <w:t xml:space="preserve">Цель отчёта</w:t>
            </w:r>
          </w:p>
        </w:tc>
        <w:tc>
          <w:tcPr>
            <w:tcW w:type="dxa" w:w="4819"/>
          </w:tcPr>
          <w:p>
            <w:r>
              <w:t xml:space="preserve">Обосновать целесообразность старта в выбранных рыночных границах, определить бизнес-модель, цифровой товар, первый релиз и дальнейшее развитие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 РЕЗЮМЕ ПРОЕКТА</w:t>
      </w:r>
    </w:p>
    <w:p>
      <w:pPr>
        <w:spacing w:after="120"/>
      </w:pPr>
      <w:r>
        <w:t xml:space="preserve">Проект </w:t>
      </w:r>
      <w:r>
        <w:rPr>
          <w:b/>
          <w:bCs/>
        </w:rPr>
        <w:t xml:space="preserve">DiagramCode</w:t>
      </w:r>
      <w:r>
        <w:t xml:space="preserve"> — сервис визуального моделирования диаграмм через собственный текстовый DSL (UML, ERD, IDEF0/1X/3, DFD, BPMN, сети Петри) с git-подобным версионированием, AI-генерацией по тексту/изображению и совместным редактированием.</w:t>
      </w:r>
    </w:p>
    <w:p>
      <w:pPr>
        <w:spacing w:after="120"/>
      </w:pPr>
      <w:r>
        <w:t xml:space="preserve">Спрос подтверждается устойчивым многолетним ростом интереса к категории «диаграмма как код» (индекс PlantUML вырос ≈231% за 3 года 3 месяца, см. раздел 3) и резким структурным сдвигом спроса в сторону AI-генерации диаграмм по тексту, включая growing-запрос </w:t>
      </w:r>
      <w:r>
        <w:rPr>
          <w:rFonts w:ascii="Consolas" w:cs="Consolas" w:eastAsia="Consolas" w:hAnsi="Consolas"/>
        </w:rPr>
        <w:t xml:space="preserve">text to diagram ai</w:t>
      </w:r>
      <w:r>
        <w:t xml:space="preserve"> со статусом Breakout. Рынок старта — компании Парка высоких технологий Беларуси (более 1000 компаний) и русскоязычное IT-сообщество СНГ; допущение подкреплено реальными данными — Беларусь входит в топ-5 стран мира по интересу к PlantUML (раздел 3). Оценка рынка даёт TAM (потолок) ≈$479 000/год, SAM (обслуживаемый рынок) ≈$21 600–28 800/год, SOM (достижимо в 1-й год) ≈$9 600/год (раздел 4) — </w:t>
      </w:r>
      <w:r>
        <w:rPr>
          <w:b/>
          <w:bCs/>
        </w:rPr>
        <w:t xml:space="preserve">все три цифры остаются допущениями, требующими проверки</w:t>
      </w:r>
      <w:r>
        <w:t xml:space="preserve">, а не подтверждённым фактом. Конкурентная среда насыщенная (PlantUML, Mermaid, Eraser.io, D2), но ни один конкурент не закрывает полный охват инженерных нотаций в одном продукте — это ниша DiagramCode (разделы 5-7). Ценностное предложение — мгновенная, версионируемая диаграмма из DSL-кода или текста через AI (раздел 8), реализуемая по бизнес-модели с подпиской по местам ($8/участник/мес ≈ $480/год) и AI-квотой на тариф (раздел 9). Первый релиз — DSL-редактор + рендер + сохранение версий + нотация </w:t>
      </w:r>
      <w:r>
        <w:rPr>
          <w:rFonts w:ascii="Consolas" w:cs="Consolas" w:eastAsia="Consolas" w:hAnsi="Consolas"/>
        </w:rPr>
        <w:t xml:space="preserve">erd.crows_foot.logical</w:t>
      </w:r>
      <w:r>
        <w:t xml:space="preserve"> + аутентификация + экран тарифов/оплаты (раздел 12).</w:t>
      </w:r>
    </w:p>
    <w:p>
      <w:pPr>
        <w:spacing w:after="120"/>
      </w:pPr>
      <w:r>
        <w:rPr>
          <w:b/>
          <w:bCs/>
        </w:rPr>
        <w:t xml:space="preserve">Рекомендация</w:t>
      </w:r>
      <w:r>
        <w:t xml:space="preserve">: стартовать проект в границах русскоязычного IT-сообщества (ПВТ Беларусь + СНГ) с первым релизом в минимальном составе, с сужением позиционирования до нишевой специализации (полный охват нотаций + AI), поскольку подтверждены растущий спрос, достаточный для проверки размер рынка (SOM-сценарий) и незакрытый конкурентами пробел в охвате нотаций.</w:t>
      </w:r>
    </w:p>
    <w:p>
      <w:pPr>
        <w:pStyle w:val="Heading1"/>
        <w:spacing w:after="120" w:before="240"/>
      </w:pPr>
      <w:r>
        <w:t xml:space="preserve">2 ИДЕЯ И ИСХОДНАЯ ГИПОТЕЗА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Проблема</w:t>
            </w:r>
          </w:p>
        </w:tc>
        <w:tc>
          <w:tcPr>
            <w:tcW w:type="dxa" w:w="4819"/>
          </w:tcPr>
          <w:p>
            <w:r>
              <w:t xml:space="preserve">Диаграммы либо теряют историю версий при хранении в визуальных редакторах (draw.io, Visio, Lucidchart), либо не имеют AI-генерации, полного охвата нотаций и совместного редактирования при хранении в существующих текстовых DSL-инструментах (PlantUML, Mermaid)</w:t>
            </w:r>
          </w:p>
        </w:tc>
      </w:tr>
      <w:tr>
        <w:tc>
          <w:tcPr>
            <w:tcW w:type="dxa" w:w="4819"/>
          </w:tcPr>
          <w:p>
            <w:r>
              <w:t xml:space="preserve">Клиент</w:t>
            </w:r>
          </w:p>
        </w:tc>
        <w:tc>
          <w:tcPr>
            <w:tcW w:type="dxa" w:w="4819"/>
          </w:tcPr>
          <w:p>
            <w:r>
              <w:t xml:space="preserve">Команды разработки ПО и техписатели, уже хранящие документацию в git-репозитории</w:t>
            </w:r>
          </w:p>
        </w:tc>
      </w:tr>
      <w:tr>
        <w:tc>
          <w:tcPr>
            <w:tcW w:type="dxa" w:w="4819"/>
          </w:tcPr>
          <w:p>
            <w:r>
              <w:t xml:space="preserve">Текущее решение</w:t>
            </w:r>
          </w:p>
        </w:tc>
        <w:tc>
          <w:tcPr>
            <w:tcW w:type="dxa" w:w="4819"/>
          </w:tcPr>
          <w:p>
            <w:r>
              <w:t xml:space="preserve">Визуальные GUI-редакторы (бинарный/XML-формат, не версионируется построчно) либо PlantUML/Mermaid (версионируются, но без AI и совместного редактирования)</w:t>
            </w:r>
          </w:p>
        </w:tc>
      </w:tr>
      <w:tr>
        <w:tc>
          <w:tcPr>
            <w:tcW w:type="dxa" w:w="4819"/>
          </w:tcPr>
          <w:p>
            <w:r>
              <w:t xml:space="preserve">Предлагаемое решение</w:t>
            </w:r>
          </w:p>
        </w:tc>
        <w:tc>
          <w:tcPr>
            <w:tcW w:type="dxa" w:w="4819"/>
          </w:tcPr>
          <w:p>
            <w:r>
              <w:t xml:space="preserve">Текстовый DSL + git-подобное версионирование + AI-генерация по тексту/изображению + IDE-оболочка + совместное редактирование, с полным охватом инженерных нотаций</w:t>
            </w:r>
          </w:p>
        </w:tc>
      </w:tr>
      <w:tr>
        <w:tc>
          <w:tcPr>
            <w:tcW w:type="dxa" w:w="4819"/>
          </w:tcPr>
          <w:p>
            <w:r>
              <w:t xml:space="preserve">Единица монетизации</w:t>
            </w:r>
          </w:p>
        </w:tc>
        <w:tc>
          <w:tcPr>
            <w:tcW w:type="dxa" w:w="4819"/>
          </w:tcPr>
          <w:p>
            <w:r>
              <w:t xml:space="preserve">Подписка по местам ($8/участник/мес ≈ $480/год — допущение, ЛР2-3) с AI-квотой на тариф</w:t>
            </w:r>
          </w:p>
        </w:tc>
      </w:tr>
      <w:tr>
        <w:tc>
          <w:tcPr>
            <w:tcW w:type="dxa" w:w="4819"/>
          </w:tcPr>
          <w:p>
            <w:r>
              <w:t xml:space="preserve">Гипотеза старта</w:t>
            </w:r>
          </w:p>
        </w:tc>
        <w:tc>
          <w:tcPr>
            <w:tcW w:type="dxa" w:w="4819"/>
          </w:tcPr>
          <w:p>
            <w:r>
              <w:t xml:space="preserve">Минимальный первый релиз (одна нотация ERD + рендер + сохранение + auth + оплата) достаточен для проверки готовности целевого сегмента платить за AI-квоту сверх бесплатного лимита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 АРГУМЕНТАЦИЯ СПРОСА: GOOGLE TRENDS И ЯНДЕКС ВОРДСТАТ</w:t>
      </w:r>
    </w:p>
    <w:p>
      <w:pPr>
        <w:spacing w:after="120"/>
      </w:pPr>
      <w:r>
        <w:t xml:space="preserve">Полный текст с данными — [лабораторная работа №1](../lab1-demand/lab1-demand.md).</w:t>
      </w:r>
    </w:p>
    <w:p>
      <w:pPr>
        <w:spacing w:after="120"/>
      </w:pPr>
      <w:r>
        <w:t xml:space="preserve">Реальные данные Google Trends (снято 17.09.2026, Worldwide, 5 лет): категория-лидер </w:t>
      </w:r>
      <w:r>
        <w:rPr>
          <w:rFonts w:ascii="Consolas" w:cs="Consolas" w:eastAsia="Consolas" w:hAnsi="Consolas"/>
        </w:rPr>
        <w:t xml:space="preserve">PlantUML</w:t>
      </w:r>
      <w:r>
        <w:t xml:space="preserve"> выросла с 16 до 53 пунктов индекса интереса (19.09.2021 → 08.12.2024) — точный расчёт даёт рост ≈231%. Фраза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показывает структурный сдвиг с середины 2025 года, подтверждённый отдельным растущим связанным запросом </w:t>
      </w:r>
      <w:r>
        <w:rPr>
          <w:rFonts w:ascii="Consolas" w:cs="Consolas" w:eastAsia="Consolas" w:hAnsi="Consolas"/>
        </w:rPr>
        <w:t xml:space="preserve">text to diagram ai</w:t>
      </w:r>
      <w:r>
        <w:t xml:space="preserve"> со статусом </w:t>
      </w:r>
      <w:r>
        <w:rPr>
          <w:b/>
          <w:bCs/>
        </w:rPr>
        <w:t xml:space="preserve">Breakout</w:t>
      </w:r>
      <w:r>
        <w:t xml:space="preserve"> (рост &gt;5000%). </w:t>
      </w:r>
      <w:r>
        <w:rPr>
          <w:b/>
          <w:bCs/>
        </w:rPr>
        <w:t xml:space="preserve">Беларусь занимает 5-е место в мире, Россия — 4-е, по интересу к PlantUML</w:t>
      </w:r>
      <w:r>
        <w:t xml:space="preserve"> — прямое подтверждение выбора географии старта реальными данными, а не только декларацией. При этом AI-сегмент («text to diagram») географически смещён к глобальным англоязычным IT-хабам (Филиппины, Шри-Ланка, США, Кения, Непал), а не к СНГ — вывод: категория обоснованно стартует в Беларуси/СНГ, но AI-функциональность нужно готовить сразу как англоязычный, глобально ориентированный продукт.</w:t>
      </w:r>
    </w:p>
    <w:p>
      <w:pPr>
        <w:spacing w:after="120"/>
      </w:pPr>
      <w:r>
        <w:t xml:space="preserve">Яндекс Вордстат недоступен без личной авторизации в Яндекс ID — раздел не заполнен данными по русскоязычному сегменту напрямую; инструкция по самостоятельному снятию — в лабораторной работе №1, раздел 10.</w:t>
      </w:r>
    </w:p>
    <w:p>
      <w:pPr>
        <w:spacing w:after="120"/>
      </w:pPr>
      <w:r>
        <w:t xml:space="preserve">Оценочная матрица перспективности идеи (ЛР1) даёт </w:t>
      </w:r>
      <w:r>
        <w:rPr>
          <w:b/>
          <w:bCs/>
        </w:rPr>
        <w:t xml:space="preserve">14 из 18 баллов</w:t>
      </w:r>
      <w:r>
        <w:t xml:space="preserve"> — полоса «принять с сужением», не безусловное «принять».</w:t>
      </w: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поисковый спрос на категорию растёт и регионально подтверждён; быстрее всего растёт именно AI-ориентированный сегмент — это рыночное основание идеи DiagramCode, но с оговоркой про сужение позиционирования.</w:t>
      </w:r>
    </w:p>
    <w:p>
      <w:pPr>
        <w:pStyle w:val="Heading1"/>
        <w:spacing w:after="120" w:before="240"/>
      </w:pPr>
      <w:r>
        <w:t xml:space="preserve">4 ГРАНИЦЫ И РАЗМЕР РЫНКА</w:t>
      </w:r>
    </w:p>
    <w:p>
      <w:pPr>
        <w:spacing w:after="120"/>
      </w:pPr>
      <w:r>
        <w:t xml:space="preserve">Полный текст с расчётами — [лабораторная работа №2-3](../lab2-3-market-size/lab2-3-market-size.md).</w:t>
      </w:r>
    </w:p>
    <w:p>
      <w:pPr>
        <w:spacing w:after="120"/>
      </w:pPr>
      <w:r>
        <w:t xml:space="preserve">Границы рынка: продукт — DSL-инструменты для диаграмм с AI-генерацией; клиент — команды разработки ПО; география старта — русскоязычное IT-сообщество (Беларусь + СНГ); канал — поиск, GitHub, сообщества разработчиков.</w:t>
      </w:r>
    </w:p>
    <w:p>
      <w:pPr>
        <w:spacing w:after="120"/>
      </w:pPr>
      <w:r>
        <w:t xml:space="preserve">Реальные опорные данные: более 1000 компаний зарегистрировано в Парке высоких технологий Беларуси, свыше 40% — с иностранным капиталом (доля IT в ВВП Беларуси — 6,1% на I кв. 2025, источник: opencompanyinbelarus.com); ВВП Беларуси 2024 — $78,59 млрд (Macrotrends); ближайший прямой аналог </w:t>
      </w:r>
      <w:r>
        <w:rPr>
          <w:rFonts w:ascii="Consolas" w:cs="Consolas" w:eastAsia="Consolas" w:hAnsi="Consolas"/>
        </w:rPr>
        <w:t xml:space="preserve">plantuml.com</w:t>
      </w:r>
      <w:r>
        <w:t xml:space="preserve"> получает Россию как топ-страну трафика (9,07%); коммерческий продукт </w:t>
      </w:r>
      <w:r>
        <w:rPr>
          <w:rFonts w:ascii="Consolas" w:cs="Consolas" w:eastAsia="Consolas" w:hAnsi="Consolas"/>
        </w:rPr>
        <w:t xml:space="preserve">mermaidchart.com</w:t>
      </w:r>
      <w:r>
        <w:t xml:space="preserve"> почти не представлен в этом регионе — конкурентный пробел.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Допущение?</w:t>
            </w:r>
          </w:p>
        </w:tc>
      </w:tr>
      <w:tr>
        <w:tc>
          <w:tcPr>
            <w:tcW w:type="dxa" w:w="3212"/>
          </w:tcPr>
          <w:p>
            <w:r>
              <w:t xml:space="preserve">TAM (потолок, расчёт от ВВП/оборота ИТ-сектора)</w:t>
            </w:r>
          </w:p>
        </w:tc>
        <w:tc>
          <w:tcPr>
            <w:tcW w:type="dxa" w:w="3212"/>
          </w:tcPr>
          <w:p>
            <w:r>
              <w:t xml:space="preserve">≈$479 000/год</w:t>
            </w:r>
          </w:p>
        </w:tc>
        <w:tc>
          <w:tcPr>
            <w:tcW w:type="dxa" w:w="3212"/>
          </w:tcPr>
          <w:p>
            <w:r>
              <w:t xml:space="preserve">Да — 3 коэффициента сужения экспертные, требуют проверки</w:t>
            </w:r>
          </w:p>
        </w:tc>
      </w:tr>
      <w:tr>
        <w:tc>
          <w:tcPr>
            <w:tcW w:type="dxa" w:w="3212"/>
          </w:tcPr>
          <w:p>
            <w:r>
              <w:t xml:space="preserve">SAM (снизу вверх, через компании ПВТ)</w:t>
            </w:r>
          </w:p>
        </w:tc>
        <w:tc>
          <w:tcPr>
            <w:tcW w:type="dxa" w:w="3212"/>
          </w:tcPr>
          <w:p>
            <w:r>
              <w:t xml:space="preserve">≈$21 600–28 800/год</w:t>
            </w:r>
          </w:p>
        </w:tc>
        <w:tc>
          <w:tcPr>
            <w:tcW w:type="dxa" w:w="3212"/>
          </w:tcPr>
          <w:p>
            <w:r>
              <w:t xml:space="preserve">Да — доля нуждающихся/готовых платить — допущения</w:t>
            </w:r>
          </w:p>
        </w:tc>
      </w:tr>
      <w:tr>
        <w:tc>
          <w:tcPr>
            <w:tcW w:type="dxa" w:w="3212"/>
          </w:tcPr>
          <w:p>
            <w:r>
              <w:t xml:space="preserve">SOM (достижимо в 1-й год, осторожный сценарий)</w:t>
            </w:r>
          </w:p>
        </w:tc>
        <w:tc>
          <w:tcPr>
            <w:tcW w:type="dxa" w:w="3212"/>
          </w:tcPr>
          <w:p>
            <w:r>
              <w:t xml:space="preserve">≈$9 600/год</w:t>
            </w:r>
          </w:p>
        </w:tc>
        <w:tc>
          <w:tcPr>
            <w:tcW w:type="dxa" w:w="3212"/>
          </w:tcPr>
          <w:p>
            <w:r>
              <w:t xml:space="preserve">Да</w:t>
            </w:r>
          </w:p>
        </w:tc>
      </w:tr>
      <w:tr>
        <w:tc>
          <w:tcPr>
            <w:tcW w:type="dxa" w:w="3212"/>
          </w:tcPr>
          <w:p>
            <w:r>
              <w:t xml:space="preserve">Оптимистичный сценарий (расширение на СНГ ×5)</w:t>
            </w:r>
          </w:p>
        </w:tc>
        <w:tc>
          <w:tcPr>
            <w:tcW w:type="dxa" w:w="3212"/>
          </w:tcPr>
          <w:p>
            <w:r>
              <w:t xml:space="preserve">≈$336 000/год</w:t>
            </w:r>
          </w:p>
        </w:tc>
        <w:tc>
          <w:tcPr>
            <w:tcW w:type="dxa" w:w="3212"/>
          </w:tcPr>
          <w:p>
            <w:r>
              <w:t xml:space="preserve">Да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рынок старта достаточен для проверки бизнес-модели минимальным первым релизом при осторожном (SOM) сценарии — но все цифры остаются допущениями до реального опроса клиентов и тестовых продаж.</w:t>
      </w:r>
    </w:p>
    <w:p>
      <w:pPr>
        <w:pStyle w:val="Heading1"/>
        <w:spacing w:after="120" w:before="240"/>
      </w:pPr>
      <w:r>
        <w:t xml:space="preserve">5 КОНКУРЕНТНАЯ СРЕДА И УРОВНИ КОНКУРЕНЦИИ</w:t>
      </w:r>
    </w:p>
    <w:p>
      <w:pPr>
        <w:spacing w:after="120"/>
      </w:pPr>
      <w:r>
        <w:t xml:space="preserve">Полный текст — [лабораторная работа №5](../lab5-competitors/lab5-competitors.md).</w:t>
      </w:r>
    </w:p>
    <w:p>
      <w:pPr>
        <w:spacing w:after="120"/>
      </w:pPr>
      <w:r>
        <w:t xml:space="preserve">По реальной 8-критериальной формуле методики (веса: задача 0,22 / сегмент 0,18 / продукт 0,18 / заменяемость 0,18 / каналы 0,10 / цена 0,08 / результат 0,04 / видимость 0,02, шкала 0-4, пороги 80-100/65-79/50-64/35-49/20-34/0-19): </w:t>
      </w:r>
      <w:r>
        <w:rPr>
          <w:b/>
          <w:bCs/>
        </w:rPr>
        <w:t xml:space="preserve">прямые конкуренты</w:t>
      </w:r>
      <w:r>
        <w:t xml:space="preserve"> — PlantUML (90,0), Mermaid open-source (90,0), MermaidChart (83,5), Eraser.io (93,0, самый близкий аналог); </w:t>
      </w:r>
      <w:r>
        <w:rPr>
          <w:b/>
          <w:bCs/>
        </w:rPr>
        <w:t xml:space="preserve">близкие конкуренты</w:t>
      </w:r>
      <w:r>
        <w:t xml:space="preserve"> — D2 (79,5), draw.io (67,5); </w:t>
      </w:r>
      <w:r>
        <w:rPr>
          <w:b/>
          <w:bCs/>
        </w:rPr>
        <w:t xml:space="preserve">косвенный</w:t>
      </w:r>
      <w:r>
        <w:t xml:space="preserve"> — Lucidchart (63,5); </w:t>
      </w:r>
      <w:r>
        <w:rPr>
          <w:b/>
          <w:bCs/>
        </w:rPr>
        <w:t xml:space="preserve">заменитель</w:t>
      </w:r>
      <w:r>
        <w:t xml:space="preserve"> — Microsoft Visio (49,5); </w:t>
      </w:r>
      <w:r>
        <w:rPr>
          <w:b/>
          <w:bCs/>
        </w:rPr>
        <w:t xml:space="preserve">потенциальный конкурент</w:t>
      </w:r>
      <w:r>
        <w:t xml:space="preserve"> — универсальные AI-ассистенты, используемые вручную для генерации кода диаграмм (26,5).</w:t>
      </w:r>
    </w:p>
    <w:p>
      <w:pPr>
        <w:spacing w:after="120"/>
      </w:pPr>
      <w:r>
        <w:t xml:space="preserve">Модель Левитта показывает: у прямых конкурентов «расширенный товар» — это глубина экосистемы (плагины/интеграции), не охват нотаций. Модель Кано классифицирует полный охват нотаций как </w:t>
      </w:r>
      <w:r>
        <w:rPr>
          <w:b/>
          <w:bCs/>
        </w:rPr>
        <w:t xml:space="preserve">привлекательную (excitement)</w:t>
      </w:r>
      <w:r>
        <w:t xml:space="preserve"> характеристику — не ожидается рынком, но радует и дифференцирует.</w:t>
      </w:r>
    </w:p>
    <w:p>
      <w:pPr>
        <w:spacing w:after="120"/>
      </w:pPr>
      <w:r>
        <w:t xml:space="preserve">Рыночный стандарт цифрового товара (6-классовая типология): текстовый DSL и браузерный рендер — </w:t>
      </w:r>
      <w:r>
        <w:rPr>
          <w:b/>
          <w:bCs/>
        </w:rPr>
        <w:t xml:space="preserve">обязательные практики</w:t>
      </w:r>
      <w:r>
        <w:t xml:space="preserve"> (100% прямых конкурентов); интеграция с GitHub — </w:t>
      </w:r>
      <w:r>
        <w:rPr>
          <w:b/>
          <w:bCs/>
        </w:rPr>
        <w:t xml:space="preserve">распространённая</w:t>
      </w:r>
      <w:r>
        <w:t xml:space="preserve">; AI-генерация — </w:t>
      </w:r>
      <w:r>
        <w:rPr>
          <w:b/>
          <w:bCs/>
        </w:rPr>
        <w:t xml:space="preserve">усиливающая практика</w:t>
      </w:r>
      <w:r>
        <w:t xml:space="preserve">, растёт быстро; </w:t>
      </w:r>
      <w:r>
        <w:rPr>
          <w:b/>
          <w:bCs/>
        </w:rPr>
        <w:t xml:space="preserve">полный охват инженерных нотаций — редкая практика (0 из 4 прямых конкурентов)</w:t>
      </w:r>
      <w:r>
        <w:t xml:space="preserve"> — это конкурентный пробел для DiagramCode.</w:t>
      </w:r>
    </w:p>
    <w:p>
      <w:pPr>
        <w:pStyle w:val="Heading1"/>
        <w:spacing w:after="120" w:before="240"/>
      </w:pPr>
      <w:r>
        <w:t xml:space="preserve">6 БАРЬЕРЫ ВХОДА И ВЫХОДА</w:t>
      </w:r>
    </w:p>
    <w:p>
      <w:pPr>
        <w:spacing w:after="120"/>
      </w:pPr>
      <w:r>
        <w:t xml:space="preserve">Полный текст — [лабораторная работа №4](../lab4-porter/lab4-porter.md).</w:t>
      </w:r>
    </w:p>
    <w:p>
      <w:pPr>
        <w:spacing w:after="120"/>
      </w:pPr>
      <w:r>
        <w:t xml:space="preserve">Среднее (не взвешенное) значение пяти сил Портера по строго дискретной шкале 1/3/5 — </w:t>
      </w:r>
      <w:r>
        <w:rPr>
          <w:b/>
          <w:bCs/>
        </w:rPr>
        <w:t xml:space="preserve">4,33 из 5 (высокое конкурентное давление)</w:t>
      </w:r>
      <w:r>
        <w:t xml:space="preserve">, обусловлено главным образом высокой силой покупателей (лёгкость сравнения с бесплатными PlantUML/Mermaid) и высокой угрозой заменителей, а не числом прямых конкурентов. Независимая SimilarWeb-оценка барьеров (своя непрерывная шкала 1,0–5,0) даёт </w:t>
      </w:r>
      <w:r>
        <w:rPr>
          <w:b/>
          <w:bCs/>
        </w:rPr>
        <w:t xml:space="preserve">3,43 — высокий уровень барьеров</w:t>
      </w:r>
      <w:r>
        <w:t xml:space="preserve">, главным образом за счёт репутационного барьера (5) и поисковой конкуренции (4); индекс концентрации CR3/CR5 честно не рассчитан — данных SimilarWeb достаточно только по 2 из 5 конкурентов. Барьеры входа (по перечню самой методики Портера §7) — доверие и данные/аналитика самые высокие; барьеры выхода — низкие (инфраструктура на условно-бесплатных тарифах, архитектура нотаций переиспользуема).</w:t>
      </w: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вход на рынок возможен только при чёткой специализации (полный охват нотаций) — не через прямую конкуренцию по фиче-листу с Eraser.io.</w:t>
      </w:r>
    </w:p>
    <w:p>
      <w:pPr>
        <w:pStyle w:val="Heading1"/>
        <w:spacing w:after="120" w:before="240"/>
      </w:pPr>
      <w:r>
        <w:t xml:space="preserve">7 ПРОБЛЕМЫ ПОЛЬЗОВАТЕЛЕЙ И РЫНОЧНЫЕ ПРОБЕЛЫ</w:t>
      </w:r>
    </w:p>
    <w:p>
      <w:pPr>
        <w:spacing w:after="120"/>
      </w:pPr>
      <w:r>
        <w:t xml:space="preserve">Ключевая проблема (см. разделы 2, 5): команды либо теряют версионирование диаграмм (визуальные редакторы), либо не получают AI-генерацию и полный охват нотаций (существующие DSL-инструменты). Проблема имеет функциональный (нет единого инструмента для всех нотаций) и организационный (сложно поддерживать актуальность диаграмм вручную) характер.</w:t>
      </w:r>
    </w:p>
    <w:p>
      <w:pPr>
        <w:pStyle w:val="Heading1"/>
        <w:spacing w:after="120" w:before="240"/>
      </w:pPr>
      <w:r>
        <w:t xml:space="preserve">8 ЦЕННОСТНОЕ ПРЕДЛОЖЕНИЕ И ЦИФРОВОЙ ТОВАР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1.</w:t>
      </w:r>
    </w:p>
    <w:p>
      <w:pPr>
        <w:spacing w:after="120"/>
      </w:pPr>
      <w:r>
        <w:t xml:space="preserve">Для команд разработки, хранящих документацию в git, DiagramCode обеспечивает мгновенную, версионируемую инженерную диаграмму из DSL-кода или текста/изображения через AI, с полным охватом нотаций — в отличие от конкурентов, где выбор стоит между версионированием (PlantUML/Mermaid) и AI+полнотой фич (Eraser.io), но не тем и другим сразу. Единица монетизации — подписка по местам ($8/участник/мес ≈ $480/год) с AI-квотой на тариф.</w:t>
      </w:r>
    </w:p>
    <w:p>
      <w:pPr>
        <w:pStyle w:val="Heading1"/>
        <w:spacing w:after="120" w:before="240"/>
      </w:pPr>
      <w:r>
        <w:t xml:space="preserve">9 БИЗНЕС-МОДЕЛЬ ПО КАНВАС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2.</w:t>
      </w:r>
    </w:p>
    <w:p>
      <w:pPr>
        <w:spacing w:after="120"/>
      </w:pPr>
      <w:r>
        <w:t xml:space="preserve">Все девять блоков Канваса заполнены и проверены на связность: </w:t>
      </w:r>
      <w:r>
        <w:rPr>
          <w:b/>
          <w:bCs/>
        </w:rPr>
        <w:t xml:space="preserve">сегменты</w:t>
      </w:r>
      <w:r>
        <w:t xml:space="preserve"> (ПВТ-команды Беларуси/СНГ) ↔ </w:t>
      </w:r>
      <w:r>
        <w:rPr>
          <w:b/>
          <w:bCs/>
        </w:rPr>
        <w:t xml:space="preserve">ценностное предложение</w:t>
      </w:r>
      <w:r>
        <w:t xml:space="preserve"> (DSL+AI+версии+полный охват нотаций) ↔ </w:t>
      </w:r>
      <w:r>
        <w:rPr>
          <w:b/>
          <w:bCs/>
        </w:rPr>
        <w:t xml:space="preserve">каналы</w:t>
      </w:r>
      <w:r>
        <w:t xml:space="preserve"> (органика через GitHub/поиск) ↔ </w:t>
      </w:r>
      <w:r>
        <w:rPr>
          <w:b/>
          <w:bCs/>
        </w:rPr>
        <w:t xml:space="preserve">отношения с клиентами</w:t>
      </w:r>
      <w:r>
        <w:t xml:space="preserve"> (самообслуживание на Free, поддержка на платных) ↔ </w:t>
      </w:r>
      <w:r>
        <w:rPr>
          <w:b/>
          <w:bCs/>
        </w:rPr>
        <w:t xml:space="preserve">потоки доходов</w:t>
      </w:r>
      <w:r>
        <w:t xml:space="preserve"> ($8/участник/мес ≈ $480/год с AI-квотой) ↔ </w:t>
      </w:r>
      <w:r>
        <w:rPr>
          <w:b/>
          <w:bCs/>
        </w:rPr>
        <w:t xml:space="preserve">ключевые ресурсы</w:t>
      </w:r>
      <w:r>
        <w:t xml:space="preserve"> (реестр нотаций, </w:t>
      </w:r>
      <w:r>
        <w:rPr>
          <w:rFonts w:ascii="Consolas" w:cs="Consolas" w:eastAsia="Consolas" w:hAnsi="Consolas"/>
        </w:rPr>
        <w:t xml:space="preserve">AIProvider</w:t>
      </w:r>
      <w:r>
        <w:t xml:space="preserve">) ↔ </w:t>
      </w:r>
      <w:r>
        <w:rPr>
          <w:b/>
          <w:bCs/>
        </w:rPr>
        <w:t xml:space="preserve">ключевые действия</w:t>
      </w:r>
      <w:r>
        <w:t xml:space="preserve"> (разработка нотаций по волнам, промпт-инжиниринг AI-режимов) ↔ </w:t>
      </w:r>
      <w:r>
        <w:rPr>
          <w:b/>
          <w:bCs/>
        </w:rPr>
        <w:t xml:space="preserve">партнёры</w:t>
      </w:r>
      <w:r>
        <w:t xml:space="preserve"> (LLM/VLM-провайдер, GitHub/GitLab, Render/Netlify, Neon) ↔ </w:t>
      </w:r>
      <w:r>
        <w:rPr>
          <w:b/>
          <w:bCs/>
        </w:rPr>
        <w:t xml:space="preserve">структура затрат</w:t>
      </w:r>
      <w:r>
        <w:t xml:space="preserve"> (переменные — LLM API, растёт с базой пользователей). Главный экономический риск — рост затрат на AI быстрее роста платящей базы, контролируется квотой (20 запросов/день по умолчанию).</w:t>
      </w:r>
    </w:p>
    <w:p>
      <w:pPr>
        <w:pStyle w:val="Heading1"/>
        <w:spacing w:after="120" w:before="240"/>
      </w:pPr>
      <w:r>
        <w:t xml:space="preserve">10 ПОЛЬЗОВАТЕЛЬСКИЕ СЦЕНАРИИ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3. Семь сценариев по ролям закрывают все ключевые семейства методики: discovery (посетитель сравнивает с конкурентами до регистрации), ядро ценности (написание DSL → Run → сохранение; AI-генерация по описанию), </w:t>
      </w:r>
      <w:r>
        <w:rPr>
          <w:b/>
          <w:bCs/>
        </w:rPr>
        <w:t xml:space="preserve">монетизация</w:t>
      </w:r>
      <w:r>
        <w:t xml:space="preserve"> (переход на платный тариф после исчерпания AI-квоты — полный паспорт сценария), удержание (регулярный возврат к сохранённым диаграммам), </w:t>
      </w:r>
      <w:r>
        <w:rPr>
          <w:b/>
          <w:bCs/>
        </w:rPr>
        <w:t xml:space="preserve">восстановление после ошибки</w:t>
      </w:r>
      <w:r>
        <w:t xml:space="preserve"> (диагностика и AI-исправление синтаксической ошибки — полный паспорт сценария), совместное редактирование (Волна 2).</w:t>
      </w:r>
    </w:p>
    <w:p>
      <w:pPr>
        <w:pStyle w:val="Heading1"/>
        <w:spacing w:after="120" w:before="240"/>
      </w:pPr>
      <w:r>
        <w:t xml:space="preserve">11 СТРАНИЦЫ, ЭКРАНЫ, КОНТЕНТ И ФУНКЦИОНАЛ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4. Состав первого релиза выведен из матрицы «сценарий → экран», а не взят из макетов «в общем»: экран логина, IDE-оболочка (редактор Monaco + канвас + нижняя панель Problems + статус-бар), модалка AI-ассистента, панель шаблонов нотаций, дропдаун сохранения (на устройство), встроенная документация и </w:t>
      </w:r>
      <w:r>
        <w:rPr>
          <w:b/>
          <w:bCs/>
        </w:rPr>
        <w:t xml:space="preserve">экран тарифов/оплаты</w:t>
      </w:r>
      <w:r>
        <w:t xml:space="preserve"> — экран, которого не было в предыдущей версии анализа и который обязателен, поскольку это единственная точка монетизации в бизнес-модели.</w:t>
      </w:r>
    </w:p>
    <w:p>
      <w:pPr>
        <w:pStyle w:val="Heading1"/>
        <w:spacing w:after="120" w:before="240"/>
      </w:pPr>
      <w:r>
        <w:t xml:space="preserve">12 ПЕРВЫЙ И ПОСЛЕДУЮЩИЕ РЕЛИЗЫ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Релиз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Состав</w:t>
            </w:r>
          </w:p>
        </w:tc>
      </w:tr>
      <w:tr>
        <w:tc>
          <w:tcPr>
            <w:tcW w:type="dxa" w:w="4819"/>
          </w:tcPr>
          <w:p>
            <w:r>
              <w:t xml:space="preserve">Первый (курсовой срез)</w:t>
            </w:r>
          </w:p>
        </w:tc>
        <w:tc>
          <w:tcPr>
            <w:tcW w:type="dxa" w:w="4819"/>
          </w:tcPr>
          <w:p>
            <w:r>
              <w:t xml:space="preserve">DSL-редактор + рендер + сохранение версий +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 + аутентификация + </w:t>
            </w:r>
            <w:r>
              <w:rPr>
                <w:b/>
                <w:bCs/>
              </w:rPr>
              <w:t xml:space="preserve">экран тарифов/оплаты</w:t>
            </w:r>
          </w:p>
        </w:tc>
      </w:tr>
      <w:tr>
        <w:tc>
          <w:tcPr>
            <w:tcW w:type="dxa" w:w="4819"/>
          </w:tcPr>
          <w:p>
            <w:r>
              <w:t xml:space="preserve">Второй</w:t>
            </w:r>
          </w:p>
        </w:tc>
        <w:tc>
          <w:tcPr>
            <w:tcW w:type="dxa" w:w="4819"/>
          </w:tcPr>
          <w:p>
            <w:r>
              <w:t xml:space="preserve">Остальные UML (use case/sequence/activity/state machine), IDEF3, DFD с декомпозицией, совместное редактирование, OAuth</w:t>
            </w:r>
          </w:p>
        </w:tc>
      </w:tr>
      <w:tr>
        <w:tc>
          <w:tcPr>
            <w:tcW w:type="dxa" w:w="4819"/>
          </w:tcPr>
          <w:p>
            <w:r>
              <w:t xml:space="preserve">Третий</w:t>
            </w:r>
          </w:p>
        </w:tc>
        <w:tc>
          <w:tcPr>
            <w:tcW w:type="dxa" w:w="4819"/>
          </w:tcPr>
          <w:p>
            <w:r>
              <w:t xml:space="preserve">Оставшиеся виды UML, IDEF1X отдельно от ERD</w:t>
            </w:r>
          </w:p>
        </w:tc>
      </w:tr>
      <w:tr>
        <w:tc>
          <w:tcPr>
            <w:tcW w:type="dxa" w:w="4819"/>
          </w:tcPr>
          <w:p>
            <w:r>
              <w:t xml:space="preserve">Четвёртый</w:t>
            </w:r>
          </w:p>
        </w:tc>
        <w:tc>
          <w:tcPr>
            <w:tcW w:type="dxa" w:w="4819"/>
          </w:tcPr>
          <w:p>
            <w:r>
              <w:t xml:space="preserve">BPMN всех видов, сети Петри с анализом достижимости, экспорт в нативные форматы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13 РЕШЕНИЕ О ЦЕЛЕСООБРАЗНОСТИ СТАРТА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Порог положительного решения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Факт по проекту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>
            <w:tcW w:type="dxa" w:w="2409"/>
          </w:tcPr>
          <w:p>
            <w:r>
              <w:t xml:space="preserve">Проблема подтверждена</w:t>
            </w:r>
          </w:p>
        </w:tc>
        <w:tc>
          <w:tcPr>
            <w:tcW w:type="dxa" w:w="2409"/>
          </w:tcPr>
          <w:p>
            <w:r>
              <w:t xml:space="preserve">Проблема повторяется в нескольких независимых источниках</w:t>
            </w:r>
          </w:p>
        </w:tc>
        <w:tc>
          <w:tcPr>
            <w:tcW w:type="dxa" w:w="2409"/>
          </w:tcPr>
          <w:p>
            <w:r>
              <w:t xml:space="preserve">Отсутствие инструмента с полным охватом нотаций+AI+версионированием одновременно (разделы 5, 7)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Спрос подтверждён</w:t>
            </w:r>
          </w:p>
        </w:tc>
        <w:tc>
          <w:tcPr>
            <w:tcW w:type="dxa" w:w="2409"/>
          </w:tcPr>
          <w:p>
            <w:r>
              <w:t xml:space="preserve">Устойчивые/растущие запросы, региональное подтверждение</w:t>
            </w:r>
          </w:p>
        </w:tc>
        <w:tc>
          <w:tcPr>
            <w:tcW w:type="dxa" w:w="2409"/>
          </w:tcPr>
          <w:p>
            <w:r>
              <w:t xml:space="preserve">Рост PlantUML ≈231%, Беларусь #5 в мире, Breakout-запрос </w:t>
            </w:r>
            <w:r>
              <w:rPr>
                <w:rFonts w:ascii="Consolas" w:cs="Consolas" w:eastAsia="Consolas" w:hAnsi="Consolas"/>
              </w:rPr>
              <w:t xml:space="preserve">text to diagram ai</w:t>
            </w:r>
            <w:r>
              <w:t xml:space="preserve"> (раздел 3)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Рынок достаточен</w:t>
            </w:r>
          </w:p>
        </w:tc>
        <w:tc>
          <w:tcPr>
            <w:tcW w:type="dxa" w:w="2409"/>
          </w:tcPr>
          <w:p>
            <w:r>
              <w:t xml:space="preserve">Достижимый объём покрывает проверочные расходы</w:t>
            </w:r>
          </w:p>
        </w:tc>
        <w:tc>
          <w:tcPr>
            <w:tcW w:type="dxa" w:w="2409"/>
          </w:tcPr>
          <w:p>
            <w:r>
              <w:t xml:space="preserve">SOM ≈$9 600/год (осторожный сценарий) — минимально достаточно, не с запасом (раздел 4)</w:t>
            </w:r>
          </w:p>
        </w:tc>
        <w:tc>
          <w:tcPr>
            <w:tcW w:type="dxa" w:w="2409"/>
          </w:tcPr>
          <w:p>
            <w:r>
              <w:t xml:space="preserve">Да, с оговоркой</w:t>
            </w:r>
          </w:p>
        </w:tc>
      </w:tr>
      <w:tr>
        <w:tc>
          <w:tcPr>
            <w:tcW w:type="dxa" w:w="2409"/>
          </w:tcPr>
          <w:p>
            <w:r>
              <w:t xml:space="preserve">Конкурентный пробел найден</w:t>
            </w:r>
          </w:p>
        </w:tc>
        <w:tc>
          <w:tcPr>
            <w:tcW w:type="dxa" w:w="2409"/>
          </w:tcPr>
          <w:p>
            <w:r>
              <w:t xml:space="preserve">Есть отличие, не сводимое к копированию</w:t>
            </w:r>
          </w:p>
        </w:tc>
        <w:tc>
          <w:tcPr>
            <w:tcW w:type="dxa" w:w="2409"/>
          </w:tcPr>
          <w:p>
            <w:r>
              <w:t xml:space="preserve">Ни один конкурент не закрывает все нотации в одном продукте (раздел 5)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Ценность сформулирована</w:t>
            </w:r>
          </w:p>
        </w:tc>
        <w:tc>
          <w:tcPr>
            <w:tcW w:type="dxa" w:w="2409"/>
          </w:tcPr>
          <w:p>
            <w:r>
              <w:t xml:space="preserve">Связка сегмент-проблема-результат-механизм-доказательство</w:t>
            </w:r>
          </w:p>
        </w:tc>
        <w:tc>
          <w:tcPr>
            <w:tcW w:type="dxa" w:w="2409"/>
          </w:tcPr>
          <w:p>
            <w:r>
              <w:t xml:space="preserve">Раздел 8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Единица монетизации определена</w:t>
            </w:r>
          </w:p>
        </w:tc>
        <w:tc>
          <w:tcPr>
            <w:tcW w:type="dxa" w:w="2409"/>
          </w:tcPr>
          <w:p>
            <w:r>
              <w:t xml:space="preserve">Понятно, кто и за что платит</w:t>
            </w:r>
          </w:p>
        </w:tc>
        <w:tc>
          <w:tcPr>
            <w:tcW w:type="dxa" w:w="2409"/>
          </w:tcPr>
          <w:p>
            <w:r>
              <w:t xml:space="preserve">$8/участник/мес ≈$480/год, подтверждена рынком (Eraser.io)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Первый релиз реалистичен</w:t>
            </w:r>
          </w:p>
        </w:tc>
        <w:tc>
          <w:tcPr>
            <w:tcW w:type="dxa" w:w="2409"/>
          </w:tcPr>
          <w:p>
            <w:r>
              <w:t xml:space="preserve">Дешевле и быстрее полной версии, сохраняет ценность</w:t>
            </w:r>
          </w:p>
        </w:tc>
        <w:tc>
          <w:tcPr>
            <w:tcW w:type="dxa" w:w="2409"/>
          </w:tcPr>
          <w:p>
            <w:r>
              <w:t xml:space="preserve">Архитектурно спроектирован, частично реализован (Волна 1) + добавлен обязательный экран оплаты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Барьеры управляемы</w:t>
            </w:r>
          </w:p>
        </w:tc>
        <w:tc>
          <w:tcPr>
            <w:tcW w:type="dxa" w:w="2409"/>
          </w:tcPr>
          <w:p>
            <w:r>
              <w:t xml:space="preserve">Не делают проверку чрезмерно рискованной</w:t>
            </w:r>
          </w:p>
        </w:tc>
        <w:tc>
          <w:tcPr>
            <w:tcW w:type="dxa" w:w="2409"/>
          </w:tcPr>
          <w:p>
            <w:r>
              <w:t xml:space="preserve">Барьеры выхода низкие; барьеры входа требуют специализации, не капитала (раздел 6)</w:t>
            </w:r>
          </w:p>
        </w:tc>
        <w:tc>
          <w:tcPr>
            <w:tcW w:type="dxa" w:w="2409"/>
          </w:tcPr>
          <w:p>
            <w:r>
              <w:t xml:space="preserve">Да, при условии специализации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Итоговое решение: СТАРТОВАТЬ ОГРАНИЧЕННО</w:t>
      </w:r>
      <w:r>
        <w:t xml:space="preserve"> (не безусловный старт — 14/18 по оценочной матрице ЛР1 и SOM на нижней границе достаточности) проект DiagramCode в границах русскоязычного IT-сообщества (ПВТ Беларусь + СНГ), с первым релизом в минимальном составе и обязательным сужением позиционирования до нишевой специализации (полный охват нотаций + AI), при условии удержания затрат на AI-провайдера в рамках заданной квоты до подтверждения платящей базы. Все рыночные цифры (TAM/SAM/SOM) — допущения, требующие проверки прямым опросом клиентов и тестовыми продажами после запуска.</w:t>
      </w:r>
    </w:p>
    <w:p>
      <w:pPr>
        <w:pStyle w:val="Heading1"/>
        <w:spacing w:after="120" w:before="240"/>
      </w:pPr>
      <w:r>
        <w:t xml:space="preserve">14 ПРИЛОЖЕНИЯ</w:t>
      </w:r>
    </w:p>
    <w:p>
      <w:pPr>
        <w:pStyle w:val="Heading2"/>
        <w:spacing w:after="100" w:before="200"/>
      </w:pPr>
      <w:r>
        <w:t xml:space="preserve">Приложение 1 — Карта доказательств по разделам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Утверждение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Сила доказательства (1–5)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Ограничение</w:t>
            </w:r>
          </w:p>
        </w:tc>
      </w:tr>
      <w:tr>
        <w:tc>
          <w:tcPr>
            <w:tcW w:type="dxa" w:w="1927"/>
          </w:tcPr>
          <w:p>
            <w:r>
              <w:t xml:space="preserve">Беларусь #5 в мире по интересу к PlantUML</w:t>
            </w:r>
          </w:p>
        </w:tc>
        <w:tc>
          <w:tcPr>
            <w:tcW w:type="dxa" w:w="1927"/>
          </w:tcPr>
          <w:p>
            <w:r>
              <w:t xml:space="preserve">3</w:t>
            </w:r>
          </w:p>
        </w:tc>
        <w:tc>
          <w:tcPr>
            <w:tcW w:type="dxa" w:w="1927"/>
          </w:tcPr>
          <w:p>
            <w:r>
              <w:t xml:space="preserve">Google Trends, снято 17.09.2026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Индекс относительный, не абсолютный объём</w:t>
            </w:r>
          </w:p>
        </w:tc>
      </w:tr>
      <w:tr>
        <w:tc>
          <w:tcPr>
            <w:tcW w:type="dxa" w:w="1927"/>
          </w:tcPr>
          <w:p>
            <w:r>
              <w:t xml:space="preserve">&gt;1000 компаний в ПВТ Беларуси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opencompanyinbelarus.com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Точная дата публикации источника не зафиксирована</w:t>
            </w:r>
          </w:p>
        </w:tc>
      </w:tr>
      <w:tr>
        <w:tc>
          <w:tcPr>
            <w:tcW w:type="dxa" w:w="1927"/>
          </w:tcPr>
          <w:p>
            <w:r>
              <w:t xml:space="preserve">ВВП Беларуси 2024 = $78,59 млрд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Macrotrends</w:t>
            </w:r>
          </w:p>
        </w:tc>
        <w:tc>
          <w:tcPr>
            <w:tcW w:type="dxa" w:w="1927"/>
          </w:tcPr>
          <w:p>
            <w:r>
              <w:t xml:space="preserve">5</w:t>
            </w:r>
          </w:p>
        </w:tc>
        <w:tc>
          <w:tcPr>
            <w:tcW w:type="dxa" w:w="1927"/>
          </w:tcPr>
          <w:p>
            <w:r>
              <w:t xml:space="preserve">Официальная статистика, высокая надёжность</w:t>
            </w:r>
          </w:p>
        </w:tc>
      </w:tr>
      <w:tr>
        <w:tc>
          <w:tcPr>
            <w:tcW w:type="dxa" w:w="1927"/>
          </w:tcPr>
          <w:p>
            <w:r>
              <w:t xml:space="preserve">TAM ≈$479 000/год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Расчёт (ЛР2-3)</w:t>
            </w:r>
          </w:p>
        </w:tc>
        <w:tc>
          <w:tcPr>
            <w:tcW w:type="dxa" w:w="1927"/>
          </w:tcPr>
          <w:p>
            <w:r>
              <w:t xml:space="preserve">2</w:t>
            </w:r>
          </w:p>
        </w:tc>
        <w:tc>
          <w:tcPr>
            <w:tcW w:type="dxa" w:w="1927"/>
          </w:tcPr>
          <w:p>
            <w:r>
              <w:t xml:space="preserve">3 коэффициента сужения — экспертные допущения</w:t>
            </w:r>
          </w:p>
        </w:tc>
      </w:tr>
      <w:tr>
        <w:tc>
          <w:tcPr>
            <w:tcW w:type="dxa" w:w="1927"/>
          </w:tcPr>
          <w:p>
            <w:r>
              <w:t xml:space="preserve">SAM ≈$21 600–28 800/год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Расчёт (ЛР2-3)</w:t>
            </w:r>
          </w:p>
        </w:tc>
        <w:tc>
          <w:tcPr>
            <w:tcW w:type="dxa" w:w="1927"/>
          </w:tcPr>
          <w:p>
            <w:r>
              <w:t xml:space="preserve">2</w:t>
            </w:r>
          </w:p>
        </w:tc>
        <w:tc>
          <w:tcPr>
            <w:tcW w:type="dxa" w:w="1927"/>
          </w:tcPr>
          <w:p>
            <w:r>
              <w:t xml:space="preserve">Коэффициенты нуждаемости/готовности платить — допущения</w:t>
            </w:r>
          </w:p>
        </w:tc>
      </w:tr>
      <w:tr>
        <w:tc>
          <w:tcPr>
            <w:tcW w:type="dxa" w:w="1927"/>
          </w:tcPr>
          <w:p>
            <w:r>
              <w:t xml:space="preserve">Ни один конкурент не закрывает все нотации</w:t>
            </w:r>
          </w:p>
        </w:tc>
        <w:tc>
          <w:tcPr>
            <w:tcW w:type="dxa" w:w="1927"/>
          </w:tcPr>
          <w:p>
            <w:r>
              <w:t xml:space="preserve">5</w:t>
            </w:r>
          </w:p>
        </w:tc>
        <w:tc>
          <w:tcPr>
            <w:tcW w:type="dxa" w:w="1927"/>
          </w:tcPr>
          <w:p>
            <w:r>
              <w:t xml:space="preserve">Обзор сайтов конкурентов, 17.09.2026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Не проверено против скрытых roadmap-планов конкурентов</w:t>
            </w:r>
          </w:p>
        </w:tc>
      </w:tr>
      <w:tr>
        <w:tc>
          <w:tcPr>
            <w:tcW w:type="dxa" w:w="1927"/>
          </w:tcPr>
          <w:p>
            <w:r>
              <w:t xml:space="preserve">Цена $8/участник/мес</w:t>
            </w:r>
          </w:p>
        </w:tc>
        <w:tc>
          <w:tcPr>
            <w:tcW w:type="dxa" w:w="1927"/>
          </w:tcPr>
          <w:p>
            <w:r>
              <w:t xml:space="preserve">2, 8, 9</w:t>
            </w:r>
          </w:p>
        </w:tc>
        <w:tc>
          <w:tcPr>
            <w:tcW w:type="dxa" w:w="1927"/>
          </w:tcPr>
          <w:p>
            <w:r>
              <w:t xml:space="preserve">Допущение по аналогии с Eraser.io</w:t>
            </w:r>
          </w:p>
        </w:tc>
        <w:tc>
          <w:tcPr>
            <w:tcW w:type="dxa" w:w="1927"/>
          </w:tcPr>
          <w:p>
            <w:r>
              <w:t xml:space="preserve">1</w:t>
            </w:r>
          </w:p>
        </w:tc>
        <w:tc>
          <w:tcPr>
            <w:tcW w:type="dxa" w:w="1927"/>
          </w:tcPr>
          <w:p>
            <w:r>
              <w:t xml:space="preserve">Не решение о прайсинге, требует проверки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2 — Контрольный лист полноты отчёта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Вопрос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Ответ</w:t>
            </w:r>
          </w:p>
        </w:tc>
      </w:tr>
      <w:tr>
        <w:tc>
          <w:tcPr>
            <w:tcW w:type="dxa" w:w="4819"/>
          </w:tcPr>
          <w:p>
            <w:r>
              <w:t xml:space="preserve">Есть исходная идея и её проверяемые гипотезы?</w:t>
            </w:r>
          </w:p>
        </w:tc>
        <w:tc>
          <w:tcPr>
            <w:tcW w:type="dxa" w:w="4819"/>
          </w:tcPr>
          <w:p>
            <w:r>
              <w:t xml:space="preserve">Да — раздел 2</w:t>
            </w:r>
          </w:p>
        </w:tc>
      </w:tr>
      <w:tr>
        <w:tc>
          <w:tcPr>
            <w:tcW w:type="dxa" w:w="4819"/>
          </w:tcPr>
          <w:p>
            <w:r>
              <w:t xml:space="preserve">Спрос подтверждён поисковой динамикой и региональными данными?</w:t>
            </w:r>
          </w:p>
        </w:tc>
        <w:tc>
          <w:tcPr>
            <w:tcW w:type="dxa" w:w="4819"/>
          </w:tcPr>
          <w:p>
            <w:r>
              <w:t xml:space="preserve">Да — раздел 3, включая реальный региональный рейтинг</w:t>
            </w:r>
          </w:p>
        </w:tc>
      </w:tr>
      <w:tr>
        <w:tc>
          <w:tcPr>
            <w:tcW w:type="dxa" w:w="4819"/>
          </w:tcPr>
          <w:p>
            <w:r>
              <w:t xml:space="preserve">Границы рынка описаны через сегмент/географию/задачу/канал?</w:t>
            </w:r>
          </w:p>
        </w:tc>
        <w:tc>
          <w:tcPr>
            <w:tcW w:type="dxa" w:w="4819"/>
          </w:tcPr>
          <w:p>
            <w:r>
              <w:t xml:space="preserve">Да — раздел 4</w:t>
            </w:r>
          </w:p>
        </w:tc>
      </w:tr>
      <w:tr>
        <w:tc>
          <w:tcPr>
            <w:tcW w:type="dxa" w:w="4819"/>
          </w:tcPr>
          <w:p>
            <w:r>
              <w:t xml:space="preserve">Размер рынка оценён на уровне TAM/SAM/SOM?</w:t>
            </w:r>
          </w:p>
        </w:tc>
        <w:tc>
          <w:tcPr>
            <w:tcW w:type="dxa" w:w="4819"/>
          </w:tcPr>
          <w:p>
            <w:r>
              <w:t xml:space="preserve">Да — раздел 4</w:t>
            </w:r>
          </w:p>
        </w:tc>
      </w:tr>
      <w:tr>
        <w:tc>
          <w:tcPr>
            <w:tcW w:type="dxa" w:w="4819"/>
          </w:tcPr>
          <w:p>
            <w:r>
              <w:t xml:space="preserve">Конкуренты разделены по уровням по реальной формуле методики?</w:t>
            </w:r>
          </w:p>
        </w:tc>
        <w:tc>
          <w:tcPr>
            <w:tcW w:type="dxa" w:w="4819"/>
          </w:tcPr>
          <w:p>
            <w:r>
              <w:t xml:space="preserve">Да — раздел 5</w:t>
            </w:r>
          </w:p>
        </w:tc>
      </w:tr>
      <w:tr>
        <w:tc>
          <w:tcPr>
            <w:tcW w:type="dxa" w:w="4819"/>
          </w:tcPr>
          <w:p>
            <w:r>
              <w:t xml:space="preserve">Барьеры входа/выхода оценены по правильной шкале с управленческим выводом?</w:t>
            </w:r>
          </w:p>
        </w:tc>
        <w:tc>
          <w:tcPr>
            <w:tcW w:type="dxa" w:w="4819"/>
          </w:tcPr>
          <w:p>
            <w:r>
              <w:t xml:space="preserve">Да — раздел 6</w:t>
            </w:r>
          </w:p>
        </w:tc>
      </w:tr>
      <w:tr>
        <w:tc>
          <w:tcPr>
            <w:tcW w:type="dxa" w:w="4819"/>
          </w:tcPr>
          <w:p>
            <w:r>
              <w:t xml:space="preserve">Ценностное предложение связано с доказанной проблемой?</w:t>
            </w:r>
          </w:p>
        </w:tc>
        <w:tc>
          <w:tcPr>
            <w:tcW w:type="dxa" w:w="4819"/>
          </w:tcPr>
          <w:p>
            <w:r>
              <w:t xml:space="preserve">Да — раздел 8</w:t>
            </w:r>
          </w:p>
        </w:tc>
      </w:tr>
      <w:tr>
        <w:tc>
          <w:tcPr>
            <w:tcW w:type="dxa" w:w="4819"/>
          </w:tcPr>
          <w:p>
            <w:r>
              <w:t xml:space="preserve">Бизнес-модель по Канвас заполнена по всем 9 блокам и проверена на связность?</w:t>
            </w:r>
          </w:p>
        </w:tc>
        <w:tc>
          <w:tcPr>
            <w:tcW w:type="dxa" w:w="4819"/>
          </w:tcPr>
          <w:p>
            <w:r>
              <w:t xml:space="preserve">Да — раздел 9</w:t>
            </w:r>
          </w:p>
        </w:tc>
      </w:tr>
      <w:tr>
        <w:tc>
          <w:tcPr>
            <w:tcW w:type="dxa" w:w="4819"/>
          </w:tcPr>
          <w:p>
            <w:r>
              <w:t xml:space="preserve">Пользовательские сценарии покрывают основные семейства (не только «получение ценности»)?</w:t>
            </w:r>
          </w:p>
        </w:tc>
        <w:tc>
          <w:tcPr>
            <w:tcW w:type="dxa" w:w="4819"/>
          </w:tcPr>
          <w:p>
            <w:r>
              <w:t xml:space="preserve">Да — раздел 10, включая монетизацию и восстановление после ошибки</w:t>
            </w:r>
          </w:p>
        </w:tc>
      </w:tr>
      <w:tr>
        <w:tc>
          <w:tcPr>
            <w:tcW w:type="dxa" w:w="4819"/>
          </w:tcPr>
          <w:p>
            <w:r>
              <w:t xml:space="preserve">Первый релиз отделён от последующих по понятным критериям?</w:t>
            </w:r>
          </w:p>
        </w:tc>
        <w:tc>
          <w:tcPr>
            <w:tcW w:type="dxa" w:w="4819"/>
          </w:tcPr>
          <w:p>
            <w:r>
              <w:t xml:space="preserve">Да — раздел 12</w:t>
            </w:r>
          </w:p>
        </w:tc>
      </w:tr>
      <w:tr>
        <w:tc>
          <w:tcPr>
            <w:tcW w:type="dxa" w:w="4819"/>
          </w:tcPr>
          <w:p>
            <w:r>
              <w:t xml:space="preserve">Итоговое решение содержит условия, границы и метрики?</w:t>
            </w:r>
          </w:p>
        </w:tc>
        <w:tc>
          <w:tcPr>
            <w:tcW w:type="dxa" w:w="4819"/>
          </w:tcPr>
          <w:p>
            <w:r>
              <w:t xml:space="preserve">Да — раздел 13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3 — Минимальная форма ТЗ для первого релиза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Раздел ТЗ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4819"/>
          </w:tcPr>
          <w:p>
            <w:r>
              <w:t xml:space="preserve">Назначение продукта</w:t>
            </w:r>
          </w:p>
        </w:tc>
        <w:tc>
          <w:tcPr>
            <w:tcW w:type="dxa" w:w="4819"/>
          </w:tcPr>
          <w:p>
            <w:r>
              <w:t xml:space="preserve">Инженерные диаграммы как код с AI-генерацией и версионированием — для команд ПВТ Беларуси/СНГ</w:t>
            </w:r>
          </w:p>
        </w:tc>
      </w:tr>
      <w:tr>
        <w:tc>
          <w:tcPr>
            <w:tcW w:type="dxa" w:w="4819"/>
          </w:tcPr>
          <w:p>
            <w:r>
              <w:t xml:space="preserve">Состав первого релиза</w:t>
            </w:r>
          </w:p>
        </w:tc>
        <w:tc>
          <w:tcPr>
            <w:tcW w:type="dxa" w:w="4819"/>
          </w:tcPr>
          <w:p>
            <w:r>
              <w:t xml:space="preserve">DSL-редактор, рендер, сохранение версий, нотация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, аутентификация, экран тарифов/оплаты</w:t>
            </w:r>
          </w:p>
        </w:tc>
      </w:tr>
      <w:tr>
        <w:tc>
          <w:tcPr>
            <w:tcW w:type="dxa" w:w="4819"/>
          </w:tcPr>
          <w:p>
            <w:r>
              <w:t xml:space="preserve">Пользовательские роли</w:t>
            </w:r>
          </w:p>
        </w:tc>
        <w:tc>
          <w:tcPr>
            <w:tcW w:type="dxa" w:w="4819"/>
          </w:tcPr>
          <w:p>
            <w:r>
              <w:t xml:space="preserve">Посетитель, Пользователь (Free/платный), Соавтор (Волна 2)</w:t>
            </w:r>
          </w:p>
        </w:tc>
      </w:tr>
      <w:tr>
        <w:tc>
          <w:tcPr>
            <w:tcW w:type="dxa" w:w="4819"/>
          </w:tcPr>
          <w:p>
            <w:r>
              <w:t xml:space="preserve">Метрики первого релиза</w:t>
            </w:r>
          </w:p>
        </w:tc>
        <w:tc>
          <w:tcPr>
            <w:tcW w:type="dxa" w:w="4819"/>
          </w:tcPr>
          <w:p>
            <w:r>
              <w:t xml:space="preserve">Доля посетителей → регистрация; доля Free → платный после исчерпания AI-квоты; retention через 30 дней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4 — Заключение</w:t>
      </w:r>
    </w:p>
    <w:p>
      <w:pPr>
        <w:spacing w:after="120"/>
      </w:pPr>
      <w:r>
        <w:t xml:space="preserve">По результатам анализа рекомендуется </w:t>
      </w:r>
      <w:r>
        <w:rPr>
          <w:b/>
          <w:bCs/>
        </w:rPr>
        <w:t xml:space="preserve">ограниченный старт</w:t>
      </w:r>
      <w:r>
        <w:t xml:space="preserve"> проекта DiagramCode в границах русскоязычного IT-сообщества (Беларусь + СНГ). Спрос подтверждён устойчивым ростом категории и реальным региональным совпадением (Беларусь #5 в мире по PlantUML). Рынок в выбранных границах оценивается как минимально достаточный для проверки (SOM ≈$9 600/год) — не с запасом. Опорная проблема (отсутствие инструмента с полным охватом нотаций+AI+версионированием) подтверждена анализом конкурентов. Ценностное предложение — полный охват инженерных нотаций с AI-генерацией и git-подобным версионированием. Первый релиз должен включать DSL-редактор, рендер, сохранение версий, аутентификацию и экран оплаты — и не должен включать совместное редактирование, OAuth и полный охват нотаций (это Волны 2–4). Переход к следующему релизу целесообразен при подтверждении готовности хотя бы части ПВТ-команд платить за AI-квоту сверх бесплатного лимита. Ключевые риски — рост затрат на LLM API быстрее платящей базы (контроль — квота) и низкая узнаваемость бренда против многолетнего PlantUML (контроль — специализация на охвате нотаций, а не прямая конкуренция по фиче-листу).</w:t>
      </w:r>
    </w:p>
    <w:p>
      <w:pPr>
        <w:pStyle w:val="Heading2"/>
        <w:spacing w:after="100" w:before="200"/>
      </w:pPr>
      <w:r>
        <w:t xml:space="preserve">Приложение 5 — Отдельный документ</w:t>
      </w:r>
    </w:p>
    <w:p>
      <w:pPr>
        <w:spacing w:after="120"/>
      </w:pPr>
      <w:r>
        <w:t xml:space="preserve">Краткое инвесторское резюме по этому же проекту (по отдельному 9-блочному шаблону курса) оформлено отдельным файлом — см. </w:t>
      </w:r>
      <w:r>
        <w:rPr>
          <w:rFonts w:ascii="Consolas" w:cs="Consolas" w:eastAsia="Consolas" w:hAnsi="Consolas"/>
        </w:rPr>
        <w:t xml:space="preserve">labs/lab7-final-report/КРАТКОЕ_РЕЗЮМЕ_DiagramCode.md</w:t>
      </w:r>
      <w:r>
        <w:t xml:space="preserve"> и соответствующий </w:t>
      </w:r>
      <w:r>
        <w:rPr>
          <w:rFonts w:ascii="Consolas" w:cs="Consolas" w:eastAsia="Consolas" w:hAnsi="Consolas"/>
        </w:rPr>
        <w:t xml:space="preserve">.docx</w:t>
      </w:r>
      <w:r>
        <w:t xml:space="preserve">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2026-09-22T13:07:33.144Z</dcterms:created>
  <dcterms:modified xsi:type="dcterms:W3CDTF">2026-09-22T13:07:33.145Z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