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Чеклист по лабораторным «Электронный бизнес» (DiagramCode)</w:t>
      </w:r>
    </w:p>
    <w:p>
      <w:pPr>
        <w:spacing w:after="120"/>
      </w:pPr>
      <w:r>
        <w:t xml:space="preserve">Дата составления: 2026-09-22. Статус на этот момент: все 6 лабораторных (ЛР1, ЛР2-3, ЛР4, ЛР5, ЛР6, ЛР7) прошли </w:t>
      </w:r>
      <w:r>
        <w:rPr>
          <w:b/>
          <w:bCs/>
        </w:rPr>
        <w:t xml:space="preserve">две</w:t>
      </w:r>
      <w:r>
        <w:t xml:space="preserve"> независимые ревизии («консиллиум» из агентов-аудиторов), найденное по обеим ревизиям — исправлено и запушено в git (</w:t>
      </w:r>
      <w:r>
        <w:rPr>
          <w:rFonts w:ascii="Consolas" w:cs="Consolas" w:eastAsia="Consolas" w:hAnsi="Consolas"/>
        </w:rPr>
        <w:t xml:space="preserve">https://github.com/KsushaKhadzhinova/E-Business</w:t>
      </w:r>
      <w:r>
        <w:t xml:space="preserve">, последний коммит с фиксами — </w:t>
      </w:r>
      <w:r>
        <w:rPr>
          <w:rFonts w:ascii="Consolas" w:cs="Consolas" w:eastAsia="Consolas" w:hAnsi="Consolas"/>
        </w:rPr>
        <w:t xml:space="preserve">ef770d1</w:t>
      </w:r>
      <w:r>
        <w:t xml:space="preserve">).</w:t>
      </w:r>
    </w:p>
    <w:p>
      <w:pPr>
        <w:spacing w:after="120"/>
      </w:pPr>
      <w:r>
        <w:t xml:space="preserve">Условные обозначения: ✅ готово · ⚠️ готово частично / есть оговорка · 🔲 не может сделать нейросеть, нужно лично вам</w:t>
      </w:r>
    </w:p>
    <w:p>
      <w:pPr>
        <w:pStyle w:val="Heading1"/>
        <w:spacing w:after="120" w:before="240"/>
      </w:pPr>
      <w:r>
        <w:t xml:space="preserve">ЛР1. Спрос (Google Trends, семантическое ядро, границы рынка)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семантическое ядро запросов, границы рынка (что считаем прямым/косвенным продуктом), количественный анализ тренда и сезонности, региональный срез, related/rising queries, данные из Яндекс Вордстат.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Семантическое ядро (7 групп запросов)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labs/lab1-demand/lab1-demand.md</w:t>
            </w:r>
            <w:r>
              <w:t xml:space="preserve">, §1</w:t>
            </w:r>
          </w:p>
        </w:tc>
      </w:tr>
      <w:tr>
        <w:tc>
          <w:tcPr>
            <w:tcW w:type="dxa" w:w="3212"/>
          </w:tcPr>
          <w:p>
            <w:r>
              <w:t xml:space="preserve">Границы рынка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зафиксированы и используются во всех следующих лабах</w:t>
            </w:r>
          </w:p>
        </w:tc>
      </w:tr>
      <w:tr>
        <w:tc>
          <w:tcPr>
            <w:tcW w:type="dxa" w:w="3212"/>
          </w:tcPr>
          <w:p>
            <w:r>
              <w:t xml:space="preserve">Google Trends: тренд + сезонность (40 месяцев, реальные данные)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рост 16→53 = 231%, реальные декабрьские спады 2021-2023</w:t>
            </w:r>
          </w:p>
        </w:tc>
      </w:tr>
      <w:tr>
        <w:tc>
          <w:tcPr>
            <w:tcW w:type="dxa" w:w="3212"/>
          </w:tcPr>
          <w:p>
            <w:r>
              <w:t xml:space="preserve">Региональный срез (Беларусь, Россия)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добавлено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Related/rising queries («text to diagram ai» — Breakout)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добавлено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Матрица «сузить/расширить» рынок (14/18 → «сузить»)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§7а</w:t>
            </w:r>
          </w:p>
        </w:tc>
      </w:tr>
      <w:tr>
        <w:tc>
          <w:tcPr>
            <w:tcW w:type="dxa" w:w="3212"/>
          </w:tcPr>
          <w:p>
            <w:r>
              <w:t xml:space="preserve">Excel-файл с формулами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ЛР1_Тренд_Сезонность_DiagramCode.xlsx</w:t>
            </w:r>
            <w:r>
              <w:t xml:space="preserve">, 105 формул (скользящее среднее, YoY, сезонный индекс)</w:t>
            </w:r>
          </w:p>
        </w:tc>
      </w:tr>
      <w:tr>
        <w:tc>
          <w:tcPr>
            <w:tcW w:type="dxa" w:w="3212"/>
          </w:tcPr>
          <w:p>
            <w:r>
              <w:t xml:space="preserve">Дубль расчёта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вкладка «ЛР1_Тренд» в общей гугл-таблице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Яндекс Вордстат — частотность запросов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сервис требует личного входа в Яндекс ID — инструкция и подпись к рисунку в </w:t>
            </w:r>
            <w:r>
              <w:rPr>
                <w:rFonts w:ascii="Consolas" w:cs="Consolas" w:eastAsia="Consolas" w:hAnsi="Consolas"/>
              </w:rPr>
              <w:t xml:space="preserve">ЧТО_ДОСНЯТЬ_САМОЙ.md</w:t>
            </w:r>
            <w:r>
              <w:t xml:space="preserve">, §1.1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ничего. </w:t>
      </w:r>
      <w:r>
        <w:rPr>
          <w:b/>
          <w:bCs/>
        </w:rPr>
        <w:t xml:space="preserve">Осталось вам</w:t>
      </w:r>
      <w:r>
        <w:t xml:space="preserve">: снять и вставить скриншоты Яндекс Вордстат (4 запроса, регион Беларусь) — см.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.</w:t>
      </w:r>
    </w:p>
    <w:p>
      <w:pPr>
        <w:pStyle w:val="Heading1"/>
        <w:spacing w:after="120" w:before="240"/>
      </w:pPr>
      <w:r>
        <w:t xml:space="preserve">ЛР2-3. Объём рынка (TAM/SAM/SOM)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top-down расчёт TAM (от макростатистики), bottom-up сверка, SAM через сегментацию, SOM через сценарии (осторожный/базовый/оптимистичный), данные SimilarWeb по конкурентам.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TAM top-down от ВВП Беларуси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$4 793 990 000 × 2% × 5% × 10% = </w:t>
            </w:r>
            <w:r>
              <w:rPr>
                <w:b/>
                <w:bCs/>
              </w:rPr>
              <w:t xml:space="preserve">$479 399/год</w:t>
            </w:r>
            <w:r>
              <w:t xml:space="preserve"> (точная цифра, без «≈»)</w:t>
            </w:r>
          </w:p>
        </w:tc>
      </w:tr>
      <w:tr>
        <w:tc>
          <w:tcPr>
            <w:tcW w:type="dxa" w:w="3212"/>
          </w:tcPr>
          <w:p>
            <w:r>
              <w:t xml:space="preserve">SAM через сегментацию ПВТ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$28 800/год</w:t>
            </w:r>
            <w:r>
              <w:t xml:space="preserve"> — единое значение, без фантомного диапазона</w:t>
            </w:r>
          </w:p>
        </w:tc>
      </w:tr>
      <w:tr>
        <w:tc>
          <w:tcPr>
            <w:tcW w:type="dxa" w:w="3212"/>
          </w:tcPr>
          <w:p>
            <w:r>
              <w:t xml:space="preserve">SOM по 3 сценариям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Осторожный $9 600 / Базовый $28 800 / Оптимистичный $336 000</w:t>
            </w:r>
          </w:p>
        </w:tc>
      </w:tr>
      <w:tr>
        <w:tc>
          <w:tcPr>
            <w:tcW w:type="dxa" w:w="3212"/>
          </w:tcPr>
          <w:p>
            <w:r>
              <w:t xml:space="preserve">Соотношение TAM/SAM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исправлено на «более чем в 16 раз» (479 399 / 28 800 ≈ 16,6) — раньше было ошибочное «почти в 20 раз»</w:t>
            </w:r>
          </w:p>
        </w:tc>
      </w:tr>
      <w:tr>
        <w:tc>
          <w:tcPr>
            <w:tcW w:type="dxa" w:w="3212"/>
          </w:tcPr>
          <w:p>
            <w:r>
              <w:t xml:space="preserve">SimilarWeb по конкурентам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получено только 2 домена из 4 (plantuml.com, mermaidchart.com) — лимит бесплатного тарифа</w:t>
            </w:r>
          </w:p>
        </w:tc>
      </w:tr>
      <w:tr>
        <w:tc>
          <w:tcPr>
            <w:tcW w:type="dxa" w:w="3212"/>
          </w:tcPr>
          <w:p>
            <w:r>
              <w:t xml:space="preserve">Excel-файл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входит в общий пакет ЛР1/4/5 (для ЛР2-3 расчёт также продублирован в Google Таблице, вкладка «ЛР2-3_Рынок»)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SimilarWeb — eraser.io, app.diagrams.net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лимит бесплатного тарифа исчерпан — снять с другого браузера/устройства или на след. день, инструкция в </w:t>
            </w:r>
            <w:r>
              <w:rPr>
                <w:rFonts w:ascii="Consolas" w:cs="Consolas" w:eastAsia="Consolas" w:hAnsi="Consolas"/>
              </w:rPr>
              <w:t xml:space="preserve">ЧТО_ДОСНЯТЬ_САМОЙ.md</w:t>
            </w:r>
            <w:r>
              <w:t xml:space="preserve">, §1.2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Решение по реальной цене подписки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сейчас рабочее допущение $8/участник/мес — вы можете утвердить или изменить (повлияет на пересчёт ЛР2-3/ЛР6/ЛР7)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 (после 2-й ревизии убраны все фантомные диапазоны). </w:t>
      </w:r>
      <w:r>
        <w:rPr>
          <w:b/>
          <w:bCs/>
        </w:rPr>
        <w:t xml:space="preserve">Осталось вам</w:t>
      </w:r>
      <w:r>
        <w:t xml:space="preserve">: 2 скриншота SimilarWeb; решение по цене подписки.</w:t>
      </w:r>
    </w:p>
    <w:p>
      <w:pPr>
        <w:pStyle w:val="Heading1"/>
        <w:spacing w:after="120" w:before="240"/>
      </w:pPr>
      <w:r>
        <w:t xml:space="preserve">ЛР4. Пять сил Портера + барьеры входа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матрица 5 сил по строгой шкале 1/3/5, отдельный анализ цифровых факторов, интерпретация 2×2, барьеры входа/выхода, (по отдельной методичке) — SimilarWeb-скоринг барьеров конкуренции.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Матрица 5 сил, шкала 1/3/5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среднее 4,33 → высокое давление</w:t>
            </w:r>
          </w:p>
        </w:tc>
      </w:tr>
      <w:tr>
        <w:tc>
          <w:tcPr>
            <w:tcW w:type="dxa" w:w="3212"/>
          </w:tcPr>
          <w:p>
            <w:r>
              <w:t xml:space="preserve">Цифровые факторы (6 отдельных признаков)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честно помечено, что «3» в сводной строке — сознательное консервативное завышение, а не округление 1,67</w:t>
            </w:r>
          </w:p>
        </w:tc>
      </w:tr>
      <w:tr>
        <w:tc>
          <w:tcPr>
            <w:tcW w:type="dxa" w:w="3212"/>
          </w:tcPr>
          <w:p>
            <w:r>
              <w:t xml:space="preserve">Интерпретация 2×2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«высокая конкуренция + растущий спрос» → искать нишу</w:t>
            </w:r>
          </w:p>
        </w:tc>
      </w:tr>
      <w:tr>
        <w:tc>
          <w:tcPr>
            <w:tcW w:type="dxa" w:w="3212"/>
          </w:tcPr>
          <w:p>
            <w:r>
              <w:t xml:space="preserve">SimilarWeb-скоринг барьеров (8 критериев)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среднее по 7 заполненным критериям (CR3/CR5 честно не считается — нет данных) = 3,43 → высокий барьер</w:t>
            </w:r>
          </w:p>
        </w:tc>
      </w:tr>
      <w:tr>
        <w:tc>
          <w:tcPr>
            <w:tcW w:type="dxa" w:w="3212"/>
          </w:tcPr>
          <w:p>
            <w:r>
              <w:t xml:space="preserve">Барьеры входа (по перечню методики Портера)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§5</w:t>
            </w:r>
          </w:p>
        </w:tc>
      </w:tr>
      <w:tr>
        <w:tc>
          <w:tcPr>
            <w:tcW w:type="dxa" w:w="3212"/>
          </w:tcPr>
          <w:p>
            <w:r>
              <w:t xml:space="preserve">Барьеры выхода (доп. раздел)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§6, отмечено как дополнение вне методики</w:t>
            </w:r>
          </w:p>
        </w:tc>
      </w:tr>
      <w:tr>
        <w:tc>
          <w:tcPr>
            <w:tcW w:type="dxa" w:w="3212"/>
          </w:tcPr>
          <w:p>
            <w:r>
              <w:t xml:space="preserve">Excel-файл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ЛР4_Портер_SimilarWeb_DiagramCode.xlsx</w:t>
            </w:r>
            <w:r>
              <w:t xml:space="preserve">, формулы AVERAGE()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CR3/CR5 индекс концентрации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зависит от тех же 2 недостающих доменов SimilarWeb (см. ЛР2-3)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ничего. </w:t>
      </w:r>
      <w:r>
        <w:rPr>
          <w:b/>
          <w:bCs/>
        </w:rPr>
        <w:t xml:space="preserve">Осталось вам</w:t>
      </w:r>
      <w:r>
        <w:t xml:space="preserve">: то же самое — 2 скриншота SimilarWeb закроют и этот пробел.</w:t>
      </w:r>
    </w:p>
    <w:p>
      <w:pPr>
        <w:pStyle w:val="Heading1"/>
        <w:spacing w:after="120" w:before="240"/>
      </w:pPr>
      <w:r>
        <w:t xml:space="preserve">ЛР5. Анализ конкурентов, уровни конкуренции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классификация конкурентов по реальной 8-критериальной взвешенной формуле (не самодельной шкале), все 7 уровней конкуренции (Прямой…Исключить), обязательные модели Левитта и Кано, 6-классовая типология рыночного стандарта, сравнительная матрица, ограничения анализа.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Формула 8 критериев × веса, шкала 0-4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§1, 9 конкурентов, все индексы проверены вручную во 2-й ревизии</w:t>
            </w:r>
          </w:p>
        </w:tc>
      </w:tr>
      <w:tr>
        <w:tc>
          <w:tcPr>
            <w:tcW w:type="dxa" w:w="3212"/>
          </w:tcPr>
          <w:p>
            <w:r>
              <w:t xml:space="preserve">Все уровни классификации представлены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Прямой/Близкий/Косвенный/Заменитель/Потенциальный</w:t>
            </w:r>
          </w:p>
        </w:tc>
      </w:tr>
      <w:tr>
        <w:tc>
          <w:tcPr>
            <w:tcW w:type="dxa" w:w="3212"/>
          </w:tcPr>
          <w:p>
            <w:r>
              <w:t xml:space="preserve">Модель Левитта (5 уровней товара)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2 конкурента (PlantUML, Eraser.io) + DiagramCode — </w:t>
            </w:r>
            <w:r>
              <w:rPr>
                <w:b/>
                <w:bCs/>
              </w:rPr>
              <w:t xml:space="preserve">не 3</w:t>
            </w:r>
            <w:r>
              <w:t xml:space="preserve">, исправлено во 2-й ревизии</w:t>
            </w:r>
          </w:p>
        </w:tc>
      </w:tr>
      <w:tr>
        <w:tc>
          <w:tcPr>
            <w:tcW w:type="dxa" w:w="3212"/>
          </w:tcPr>
          <w:p>
            <w:r>
              <w:t xml:space="preserve">Модель Кано (10 функций)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§4</w:t>
            </w:r>
          </w:p>
        </w:tc>
      </w:tr>
      <w:tr>
        <w:tc>
          <w:tcPr>
            <w:tcW w:type="dxa" w:w="3212"/>
          </w:tcPr>
          <w:p>
            <w:r>
              <w:t xml:space="preserve">6-классовая типология рыночного стандарта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§5</w:t>
            </w:r>
          </w:p>
        </w:tc>
      </w:tr>
      <w:tr>
        <w:tc>
          <w:tcPr>
            <w:tcW w:type="dxa" w:w="3212"/>
          </w:tcPr>
          <w:p>
            <w:r>
              <w:t xml:space="preserve">Сравнительная матрица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§6</w:t>
            </w:r>
          </w:p>
        </w:tc>
      </w:tr>
      <w:tr>
        <w:tc>
          <w:tcPr>
            <w:tcW w:type="dxa" w:w="3212"/>
          </w:tcPr>
          <w:p>
            <w:r>
              <w:t xml:space="preserve">Итоговые гипотезы для проверки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§7</w:t>
            </w:r>
          </w:p>
        </w:tc>
      </w:tr>
      <w:tr>
        <w:tc>
          <w:tcPr>
            <w:tcW w:type="dxa" w:w="3212"/>
          </w:tcPr>
          <w:p>
            <w:r>
              <w:t xml:space="preserve">Ограничения анализа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§8</w:t>
            </w:r>
          </w:p>
        </w:tc>
      </w:tr>
      <w:tr>
        <w:tc>
          <w:tcPr>
            <w:tcW w:type="dxa" w:w="3212"/>
          </w:tcPr>
          <w:p>
            <w:r>
              <w:t xml:space="preserve">Excel-файл с живыми формулами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ЛР5_Классификация_Левитт_Кано_DiagramCode.xlsx</w:t>
            </w:r>
            <w:r>
              <w:t xml:space="preserve">, SUMPRODUCT/IF, 23 формулы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«Паспорта» бизнес-модели конкурентов (§2)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сделаны подробно для 3 из 9 классифицированных конкурентов (PlantUML, Eraser.io, Mermaid/MermaidChart вместе) — для остальных 6 (D2, draw.io, Lucidchart, Visio, AI-ассистенты) паспорта не разворачивались, это отмечено 2-й ревизией как MINOR-пробел, не блокирующий</w:t>
            </w:r>
          </w:p>
        </w:tc>
      </w:tr>
      <w:tr>
        <w:tc>
          <w:tcPr>
            <w:tcW w:type="dxa" w:w="3212"/>
          </w:tcPr>
          <w:p>
            <w:r>
              <w:t xml:space="preserve">Тонкие категории (по 1 кандидату в Косвенный/Заменитель/Потенциальный)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это отражение реальной картины рынка (нет других известных игроков в этих категориях), а не недоработка — методика не требует минимум N игроков на категорию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по желанию можно дополнить «паспорта» бизнес-модели ещё для 2-3 конкурентов (D2, draw.io) — это MINOR, не блокирует сдачу; сделаю, если скажете продолжать. </w:t>
      </w:r>
      <w:r>
        <w:rPr>
          <w:b/>
          <w:bCs/>
        </w:rPr>
        <w:t xml:space="preserve">Осталось вам</w:t>
      </w:r>
      <w:r>
        <w:t xml:space="preserve">: ничего специфичного для этой лабы.</w:t>
      </w:r>
    </w:p>
    <w:p>
      <w:pPr>
        <w:pStyle w:val="Heading1"/>
        <w:spacing w:after="120" w:before="240"/>
      </w:pPr>
      <w:r>
        <w:t xml:space="preserve">ЛР6. Ценностное предложение, Канвас, сценарии, релизы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Business Model Canvas (9 блоков), ценностное предложение с привязкой дохода к цифре, пользовательские сценарии по ролям (9 семейств по методике), карта сценарий→экран, состояния интерфейса, релизы со скорингом.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Business Model Canvas (9 блоков)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доход привязан к $480/год (сценарий «Базовый» из ЛР2-3)</w:t>
            </w:r>
          </w:p>
        </w:tc>
      </w:tr>
      <w:tr>
        <w:tc>
          <w:tcPr>
            <w:tcW w:type="dxa" w:w="3212"/>
          </w:tcPr>
          <w:p>
            <w:r>
              <w:t xml:space="preserve">Пользовательские сценарии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закрыты </w:t>
            </w:r>
            <w:r>
              <w:rPr>
                <w:b/>
                <w:bCs/>
              </w:rPr>
              <w:t xml:space="preserve">6 из 9</w:t>
            </w:r>
            <w:r>
              <w:t xml:space="preserve"> семейств методики (discovery/доверие, ядро ценности, монетизация, удержание, восстановление после ошибки, командная работа)</w:t>
            </w:r>
          </w:p>
        </w:tc>
      </w:tr>
      <w:tr>
        <w:tc>
          <w:tcPr>
            <w:tcW w:type="dxa" w:w="3212"/>
          </w:tcPr>
          <w:p>
            <w:r>
              <w:t xml:space="preserve">Непокрытые семейства сценариев</w:t>
            </w:r>
          </w:p>
        </w:tc>
        <w:tc>
          <w:tcPr>
            <w:tcW w:type="dxa" w:w="3212"/>
          </w:tcPr>
          <w:p>
            <w:r>
              <w:t xml:space="preserve">🔲/⚠️</w:t>
            </w:r>
          </w:p>
        </w:tc>
        <w:tc>
          <w:tcPr>
            <w:tcW w:type="dxa" w:w="3212"/>
          </w:tcPr>
          <w:p>
            <w:r>
              <w:t xml:space="preserve">онбординг/активация как отдельный сценарий, административные сценарии, партнёрские сценарии — </w:t>
            </w:r>
            <w:r>
              <w:rPr>
                <w:b/>
                <w:bCs/>
              </w:rPr>
              <w:t xml:space="preserve">честно не заполнены</w:t>
            </w:r>
            <w:r>
              <w:t xml:space="preserve"> (нет реального материала продукта на эту тему), а не забыты — во 2-й ревизии добавлена явная сверка-пояснение</w:t>
            </w:r>
          </w:p>
        </w:tc>
      </w:tr>
      <w:tr>
        <w:tc>
          <w:tcPr>
            <w:tcW w:type="dxa" w:w="3212"/>
          </w:tcPr>
          <w:p>
            <w:r>
              <w:t xml:space="preserve">Карта сценарий → экран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Состояния интерфейса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Релизы со скорингом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4 новых сценария добавлены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Excel-файл (5 требуемых шаблонов)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ЛР6_Канвас_Сценарии_Релизы_DiagramCode.xlsx</w:t>
            </w:r>
            <w:r>
              <w:t xml:space="preserve"> — описательный свод (0 формул — это ожидаемо, лаба не расчётная)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по желанию — дописать сценарии для онбординга/активации (более реалистично сделать без выдумывания несуществующего функционала); административные и партнёрские сценарии физически нечем заполнить, пока в продукте нет админ-панели/партнёрской программы — переносить их в лабу означало бы придумывать несуществующую функциональность, чего вы просили избегать. </w:t>
      </w:r>
      <w:r>
        <w:rPr>
          <w:b/>
          <w:bCs/>
        </w:rPr>
        <w:t xml:space="preserve">Осталось вам</w:t>
      </w:r>
      <w:r>
        <w:t xml:space="preserve">: решить, устраивает ли честное «6 из 9» с пояснением, или нужно допридумать оставшиеся 3 семейства под гипотетический будущий функционал (полностью ваше решение, зависит от требований преподавателя).</w:t>
      </w:r>
    </w:p>
    <w:p>
      <w:pPr>
        <w:pStyle w:val="Heading1"/>
        <w:spacing w:after="120" w:before="240"/>
      </w:pPr>
      <w:r>
        <w:t xml:space="preserve">ЛР7. Итоговый отчёт (объединяет ЛР1-6)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паспорт проекта, синхронизация всех цифр между лабами, приложения (полные версии каждой лабы), итоговый вывод о целесообразности запуска.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Паспорт проекта (§0)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Синхронизация цифр TAM/SAM/SOM по всему отчёту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сверено построчно во 2-й ревизии — везде $479 399 / $28 800 / $9 600, без «≈» и без старых диапазонов</w:t>
            </w:r>
          </w:p>
        </w:tc>
      </w:tr>
      <w:tr>
        <w:tc>
          <w:tcPr>
            <w:tcW w:type="dxa" w:w="3212"/>
          </w:tcPr>
          <w:p>
            <w:r>
              <w:t xml:space="preserve">Синхронизация формулировки по сценариям (ЛР6)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исправлена с «все ключевые семейства» на «6 из 9»</w:t>
            </w:r>
          </w:p>
        </w:tc>
      </w:tr>
      <w:tr>
        <w:tc>
          <w:tcPr>
            <w:tcW w:type="dxa" w:w="3212"/>
          </w:tcPr>
          <w:p>
            <w:r>
              <w:t xml:space="preserve">5 приложений (полные версии лаб)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§14</w:t>
            </w:r>
          </w:p>
        </w:tc>
      </w:tr>
      <w:tr>
        <w:tc>
          <w:tcPr>
            <w:tcW w:type="dxa" w:w="3212"/>
          </w:tcPr>
          <w:p>
            <w:r>
              <w:t xml:space="preserve">Итоговый вывод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«СТАРТОВАТЬ ОГРАНИЧЕННО»</w:t>
            </w:r>
          </w:p>
        </w:tc>
      </w:tr>
      <w:tr>
        <w:tc>
          <w:tcPr>
            <w:tcW w:type="dxa" w:w="3212"/>
          </w:tcPr>
          <w:p>
            <w:r>
              <w:t xml:space="preserve">Краткое резюме (отдельный документ)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КРАТКОЕ_РЕЗЮМЕ_DiagramCode.md/.docx</w:t>
            </w:r>
          </w:p>
        </w:tc>
      </w:tr>
      <w:tr>
        <w:tc>
          <w:tcPr>
            <w:tcW w:type="dxa" w:w="3212"/>
          </w:tcPr>
          <w:p>
            <w:r>
              <w:t xml:space="preserve">Титульный лист по формату БГУИР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оформлен, но ФИО преподавателя — плейсхолдер </w:t>
            </w:r>
            <w:r>
              <w:rPr>
                <w:rFonts w:ascii="Consolas" w:cs="Consolas" w:eastAsia="Consolas" w:hAnsi="Consolas"/>
              </w:rPr>
              <w:t xml:space="preserve">[ФИО преподавателя]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ничего, кроме подстановки ФИО преподавателя, когда вы его пришлёте (займёт минуту). </w:t>
      </w:r>
      <w:r>
        <w:rPr>
          <w:b/>
          <w:bCs/>
        </w:rPr>
        <w:t xml:space="preserve">Осталось вам</w:t>
      </w:r>
      <w:r>
        <w:t xml:space="preserve">: 🔲 прислать ФИО преподавателя дисциплины «Электронный бизнес» для титульного листа.</w:t>
      </w:r>
    </w:p>
    <w:p>
      <w:pPr>
        <w:pStyle w:val="Heading1"/>
        <w:spacing w:after="120" w:before="240"/>
      </w:pPr>
      <w:r>
        <w:t xml:space="preserve">Google Таблица (дублирует Excel)</w:t>
      </w:r>
    </w:p>
    <w:p>
      <w:pPr>
        <w:spacing w:after="120"/>
      </w:pPr>
      <w:r>
        <w:t xml:space="preserve">✅ Готово: </w:t>
      </w:r>
      <w:r>
        <w:rPr>
          <w:rFonts w:ascii="Consolas" w:cs="Consolas" w:eastAsia="Consolas" w:hAnsi="Consolas"/>
        </w:rPr>
        <w:t xml:space="preserve">https://docs.google.com/spreadsheets/d/1cyJSDZ5lDwjxyeldoTWI8csxHH1HPPPNoBCe7FTVKFw/edit</w:t>
      </w:r>
      <w:r>
        <w:t xml:space="preserve">, 4 вкладки (ЛР1/ЛР2-3/ЛР4/ЛР5), все формулы живые (SUMPRODUCT, AVERAGE, IF), доступ </w:t>
      </w:r>
      <w:r>
        <w:rPr>
          <w:b/>
          <w:bCs/>
        </w:rPr>
        <w:t xml:space="preserve">только у вас</w:t>
      </w:r>
      <w:r>
        <w:t xml:space="preserve"> (ни с кем не расшарено — по вашему указанию).</w:t>
      </w:r>
    </w:p>
    <w:p>
      <w:pPr>
        <w:pStyle w:val="Heading1"/>
        <w:spacing w:after="120" w:before="240"/>
      </w:pPr>
      <w:r>
        <w:t xml:space="preserve">Сводный список: что осталось лично вам (нельзя сделать без вашего аккаунта/решения)</w:t>
      </w:r>
    </w:p>
    <w:p>
      <w:pPr>
        <w:spacing w:after="80"/>
      </w:pPr>
      <w:r>
        <w:t xml:space="preserve">1. 🔲 Скриншоты Яндекс Вордстат — 4 запроса, регион Беларусь (ЛР1).</w:t>
      </w:r>
    </w:p>
    <w:p>
      <w:pPr>
        <w:spacing w:after="80"/>
      </w:pPr>
      <w:r>
        <w:t xml:space="preserve">2. 🔲 Скриншоты SimilarWeb — </w:t>
      </w:r>
      <w:r>
        <w:rPr>
          <w:rFonts w:ascii="Consolas" w:cs="Consolas" w:eastAsia="Consolas" w:hAnsi="Consolas"/>
        </w:rPr>
        <w:t xml:space="preserve">eraser.io</w:t>
      </w:r>
      <w:r>
        <w:t xml:space="preserve"> и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 (ЛР2-3, ЛР4 — заодно закроет пробел CR3/CR5).</w:t>
      </w:r>
    </w:p>
    <w:p>
      <w:pPr>
        <w:spacing w:after="80"/>
      </w:pPr>
      <w:r>
        <w:t xml:space="preserve">3. 🔲 ФИО преподавателя для титульного листа (ЛР7).</w:t>
      </w:r>
    </w:p>
    <w:p>
      <w:pPr>
        <w:spacing w:after="80"/>
      </w:pPr>
      <w:r>
        <w:t xml:space="preserve">4. 🔲 Решение по реальной цене подписки (сейчас рабочее допущение $8/мес/участник) — по желанию, можно оставить как есть.</w:t>
      </w:r>
    </w:p>
    <w:p>
      <w:pPr>
        <w:spacing w:after="80"/>
      </w:pPr>
      <w:r>
        <w:t xml:space="preserve">5. 🔲 Решение, устраивает ли честное «6 из 9» семейств сценариев в ЛР6, или нужно дополнить остальные 3 гипотетическим функционалом.</w:t>
      </w:r>
    </w:p>
    <w:p>
      <w:pPr>
        <w:spacing w:after="80"/>
      </w:pPr>
      <w:r>
        <w:t xml:space="preserve">6. 🔲 (Опционально, не требуется методикой) — проверка гипотез на реальных пользователях/клиентах: опрос 5-10 разработчиков, тестовый лендинг.</w:t>
      </w:r>
    </w:p>
    <w:p>
      <w:pPr>
        <w:pStyle w:val="Heading1"/>
        <w:spacing w:after="120" w:before="240"/>
      </w:pPr>
      <w:r>
        <w:t xml:space="preserve">Сводный список: что осталось (может сделать) мне, если скажете продолжать</w:t>
      </w:r>
    </w:p>
    <w:p>
      <w:pPr>
        <w:spacing w:after="80"/>
      </w:pPr>
      <w:r>
        <w:t xml:space="preserve">1. Дополнить «паспорта» бизнес-модели в ЛР5 ещё для 2-3 конкурентов (D2, draw.io) — MINOR, не блокирует сдачу.</w:t>
      </w:r>
    </w:p>
    <w:p>
      <w:pPr>
        <w:spacing w:after="80"/>
      </w:pPr>
      <w:r>
        <w:t xml:space="preserve">2. Дописать сценарий «онбординг/активация» в ЛР6 (реалистично осуществимо без выдумывания функционала) — административные и партнёрские сценарии физически нечем заполнить, пока в продукте нет соответствующего функционала.</w:t>
      </w:r>
    </w:p>
    <w:p>
      <w:pPr>
        <w:spacing w:after="80"/>
      </w:pPr>
      <w:r>
        <w:t xml:space="preserve">3. Подставить ФИО преподавателя в титульный лист ЛР7, как только пришлёте.</w:t>
      </w:r>
    </w:p>
    <w:p>
      <w:pPr>
        <w:spacing w:after="80"/>
      </w:pPr>
      <w:r>
        <w:t xml:space="preserve">4. Пересчитать ЛР2-3/ЛР6/ЛР7, если измените цену подписки или получите новые данные SimilarWeb.</w:t>
      </w:r>
    </w:p>
    <w:p>
      <w:pPr>
        <w:spacing w:after="120"/>
      </w:pPr>
      <w:r>
        <w:rPr>
          <w:b/>
          <w:bCs/>
        </w:rPr>
        <w:t xml:space="preserve">Всё остальное по всем 6 лабораторным — готово, дважды проверено независимым аудитом и синхронизировано между документами.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2026-09-22T19:43:05.004Z</dcterms:created>
  <dcterms:modified xsi:type="dcterms:W3CDTF">2026-09-22T19:43:05.006Z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