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ЛР6. Ценностное предложение, бизнес-модель Канвас, сценарии, страницы, релизы</w:t>
      </w:r>
    </w:p>
    <w:p>
      <w:pPr>
        <w:spacing w:after="120"/>
      </w:pPr>
      <w:r>
        <w:t xml:space="preserve">Объект анализа: </w:t>
      </w:r>
      <w:r>
        <w:rPr>
          <w:b/>
          <w:bCs/>
        </w:rPr>
        <w:t xml:space="preserve">DiagramCode</w:t>
      </w:r>
      <w:r>
        <w:t xml:space="preserve">. Раздел опирается на уже принятые архитектурные решения реального продукта (</w:t>
      </w:r>
      <w:r>
        <w:rPr>
          <w:rFonts w:ascii="Consolas" w:cs="Consolas" w:eastAsia="Consolas" w:hAnsi="Consolas"/>
        </w:rPr>
        <w:t xml:space="preserve">docs/architecture/</w:t>
      </w:r>
      <w:r>
        <w:t xml:space="preserve">, </w:t>
      </w:r>
      <w:r>
        <w:rPr>
          <w:rFonts w:ascii="Consolas" w:cs="Consolas" w:eastAsia="Consolas" w:hAnsi="Consolas"/>
        </w:rPr>
        <w:t xml:space="preserve">docs/requirements/</w:t>
      </w:r>
      <w:r>
        <w:t xml:space="preserve"> в основном репозитории продукта) — они не изобретены заново для этой лабораторной, а систематизированы в формате методики курса.</w:t>
      </w:r>
    </w:p>
    <w:p>
      <w:pPr>
        <w:spacing w:after="120"/>
      </w:pPr>
      <w:r>
        <w:rPr>
          <w:i/>
          <w:iCs/>
        </w:rPr>
        <w:t xml:space="preserve">**Исправлено после ревизии совета**: (1) в Канвасе «Потоки доходов» не было ни одной цифры — теперь явно указан $480/год из ЛР2-3; (2) пользовательские сценарии закрывали только одно из девяти требуемых методикой семейств («получение ценности») — добавлены сценарии монетизации, доверия, удержания и восстановления после ошибки, два из них — в полном 14-польном формате «паспорта сценария»; (3) страницы/экраны были просто списком из готовых макетов продукта, без связи со сценариями и без состояний интерфейса — добавлена матрица «сценарий → экран» и таблица состояний.</w:t>
      </w:r>
    </w:p>
    <w:p>
      <w:pPr>
        <w:pStyle w:val="Heading1"/>
        <w:spacing w:after="120" w:before="240"/>
      </w:pPr>
      <w:r>
        <w:t xml:space="preserve">1. Ценностное предложение и цифровой товар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Целевой клиент</w:t>
            </w:r>
          </w:p>
        </w:tc>
        <w:tc>
          <w:tcPr>
            <w:tcW w:type="dxa" w:w="4819"/>
          </w:tcPr>
          <w:p>
            <w:r>
              <w:t xml:space="preserve">Команда разработки/техписатели, уже хранящая документацию в git (стартовый сегмент — ПВТ Беларусь, см. ЛР2-3)</w:t>
            </w:r>
          </w:p>
        </w:tc>
      </w:tr>
      <w:tr>
        <w:tc>
          <w:tcPr>
            <w:tcW w:type="dxa" w:w="4819"/>
          </w:tcPr>
          <w:p>
            <w:r>
              <w:t xml:space="preserve">Проблема</w:t>
            </w:r>
          </w:p>
        </w:tc>
        <w:tc>
          <w:tcPr>
            <w:tcW w:type="dxa" w:w="4819"/>
          </w:tcPr>
          <w:p>
            <w:r>
              <w:t xml:space="preserve">См. ЛР1/ЛР4/ЛР5: диаграммы либо теряют историю версий (визуальные редакторы), либо не имеют AI-генерации и полного охвата нотаций (существующие DSL-инструменты)</w:t>
            </w:r>
          </w:p>
        </w:tc>
      </w:tr>
      <w:tr>
        <w:tc>
          <w:tcPr>
            <w:tcW w:type="dxa" w:w="4819"/>
          </w:tcPr>
          <w:p>
            <w:r>
              <w:t xml:space="preserve">Результат</w:t>
            </w:r>
          </w:p>
        </w:tc>
        <w:tc>
          <w:tcPr>
            <w:tcW w:type="dxa" w:w="4819"/>
          </w:tcPr>
          <w:p>
            <w:r>
              <w:t xml:space="preserve">Мгновенная, версионируемая инженерная диаграмма из DSL-кода или из текста/изображения через AI, с полным охватом нотаций (UML, ERD, IDEF0/1X/3, DFD, BPMN, сети Петри) в одном инструменте</w:t>
            </w:r>
          </w:p>
        </w:tc>
      </w:tr>
      <w:tr>
        <w:tc>
          <w:tcPr>
            <w:tcW w:type="dxa" w:w="4819"/>
          </w:tcPr>
          <w:p>
            <w:r>
              <w:t xml:space="preserve">Механизм ценности</w:t>
            </w:r>
          </w:p>
        </w:tc>
        <w:tc>
          <w:tcPr>
            <w:tcW w:type="dxa" w:w="4819"/>
          </w:tcPr>
          <w:p>
            <w:r>
              <w:t xml:space="preserve">Реестр плагинов нотаций (</w:t>
            </w:r>
            <w:r>
              <w:rPr>
                <w:rFonts w:ascii="Consolas" w:cs="Consolas" w:eastAsia="Consolas" w:hAnsi="Consolas"/>
              </w:rPr>
              <w:t xml:space="preserve">NotationProfile</w:t>
            </w:r>
            <w:r>
              <w:t xml:space="preserve">) + парсер DSL (Lark) + AI-провайдер за общим интерфейсом (Strategy) + git-подобное версионирование (коммиты/блобы, дедупликация по SHA-256)</w:t>
            </w:r>
          </w:p>
        </w:tc>
      </w:tr>
      <w:tr>
        <w:tc>
          <w:tcPr>
            <w:tcW w:type="dxa" w:w="4819"/>
          </w:tcPr>
          <w:p>
            <w:r>
              <w:t xml:space="preserve">Отличие</w:t>
            </w:r>
          </w:p>
        </w:tc>
        <w:tc>
          <w:tcPr>
            <w:tcW w:type="dxa" w:w="4819"/>
          </w:tcPr>
          <w:p>
            <w:r>
              <w:t xml:space="preserve">Ни один прямой конкурент (ЛР5) не закрывает весь набор нотаций в одном продукте — DiagramCode целится именно в этот пробел</w:t>
            </w:r>
          </w:p>
        </w:tc>
      </w:tr>
      <w:tr>
        <w:tc>
          <w:tcPr>
            <w:tcW w:type="dxa" w:w="4819"/>
          </w:tcPr>
          <w:p>
            <w:r>
              <w:t xml:space="preserve">Доказательство</w:t>
            </w:r>
          </w:p>
        </w:tc>
        <w:tc>
          <w:tcPr>
            <w:tcW w:type="dxa" w:w="4819"/>
          </w:tcPr>
          <w:p>
            <w:r>
              <w:t xml:space="preserve">Растущий спрос на «text to diagram» (ЛР1), рыночный стандарт AI+версионирование+GitHub-интеграция уже подтверждён у Eraser.io (ЛР5)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Уровни цифрового товара (5-уровневая модель методики)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Состав для DiagramCode</w:t>
            </w:r>
          </w:p>
        </w:tc>
      </w:tr>
      <w:tr>
        <w:tc>
          <w:tcPr>
            <w:tcW w:type="dxa" w:w="4819"/>
          </w:tcPr>
          <w:p>
            <w:r>
              <w:t xml:space="preserve">Ядро пользы</w:t>
            </w:r>
          </w:p>
        </w:tc>
        <w:tc>
          <w:tcPr>
            <w:tcW w:type="dxa" w:w="4819"/>
          </w:tcPr>
          <w:p>
            <w:r>
              <w:t xml:space="preserve">Корректная диаграмма без ручной расстановки элементов — за секунды, из кода или из текста</w:t>
            </w:r>
          </w:p>
        </w:tc>
      </w:tr>
      <w:tr>
        <w:tc>
          <w:tcPr>
            <w:tcW w:type="dxa" w:w="4819"/>
          </w:tcPr>
          <w:p>
            <w:r>
              <w:t xml:space="preserve">Базовый товар (курсовой срез / Волна 1)</w:t>
            </w:r>
          </w:p>
        </w:tc>
        <w:tc>
          <w:tcPr>
            <w:tcW w:type="dxa" w:w="4819"/>
          </w:tcPr>
          <w:p>
            <w:r>
              <w:t xml:space="preserve">DSL-редактор (Monaco с подсветкой) + рендер + сохранение версий + нотация 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 с валидацией + аутентификация</w:t>
            </w:r>
          </w:p>
        </w:tc>
      </w:tr>
      <w:tr>
        <w:tc>
          <w:tcPr>
            <w:tcW w:type="dxa" w:w="4819"/>
          </w:tcPr>
          <w:p>
            <w:r>
              <w:t xml:space="preserve">Ожидаемый товар (рыночный стандарт, ЛР5)</w:t>
            </w:r>
          </w:p>
        </w:tc>
        <w:tc>
          <w:tcPr>
            <w:tcW w:type="dxa" w:w="4819"/>
          </w:tcPr>
          <w:p>
            <w:r>
              <w:t xml:space="preserve">Браузерный рендер без установки, интеграция с GitHub, AI-генерация, история версий</w:t>
            </w:r>
          </w:p>
        </w:tc>
      </w:tr>
      <w:tr>
        <w:tc>
          <w:tcPr>
            <w:tcW w:type="dxa" w:w="4819"/>
          </w:tcPr>
          <w:p>
            <w:r>
              <w:t xml:space="preserve">Расширенный товар (Волна 2-3)</w:t>
            </w:r>
          </w:p>
        </w:tc>
        <w:tc>
          <w:tcPr>
            <w:tcW w:type="dxa" w:w="4819"/>
          </w:tcPr>
          <w:p>
            <w:r>
              <w:t xml:space="preserve">Полный реестр нотаций (UML class/sequence/use case/activity/state machine, IDEF0/3, DFD), совместное редактирование в реальном времени через WebSocket, decomposition-модель для IDEF0/DFD</w:t>
            </w:r>
          </w:p>
        </w:tc>
      </w:tr>
      <w:tr>
        <w:tc>
          <w:tcPr>
            <w:tcW w:type="dxa" w:w="4819"/>
          </w:tcPr>
          <w:p>
            <w:r>
              <w:t xml:space="preserve">Потенциальный товар (Волна 4+)</w:t>
            </w:r>
          </w:p>
        </w:tc>
        <w:tc>
          <w:tcPr>
            <w:tcW w:type="dxa" w:w="4819"/>
          </w:tcPr>
          <w:p>
            <w:r>
              <w:t xml:space="preserve">BPMN всех видов, сети Петри с анализом достижимости для ограниченных сетей, экспорт в нативные форматы (PlantUML/Mermaid-текст, BPMN 2.0 XML, drawio-XML)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Единица монетизации</w:t>
      </w:r>
    </w:p>
    <w:p>
      <w:pPr>
        <w:spacing w:after="120"/>
      </w:pPr>
      <w:r>
        <w:t xml:space="preserve">Подписка по местам с AI-квотой на тариф — та же модель, что подтверждена как рыночный стандарт у Eraser.io (ЛР5): бесплатный тариф с ограниченной AI-квотой (в архитектуре продукта уже заложено значение по умолчанию — 20 AI-запросов/день на пользователя через Redis-квоту), платные тарифы снимают ограничение.</w:t>
      </w:r>
    </w:p>
    <w:p>
      <w:pPr>
        <w:pStyle w:val="Heading1"/>
        <w:spacing w:after="120" w:before="240"/>
      </w:pPr>
      <w:r>
        <w:t xml:space="preserve">2. Бизнес-модель по Канвас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Блок Канвас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4819"/>
          </w:tcPr>
          <w:p>
            <w:r>
              <w:t xml:space="preserve">Потребительские сегменты</w:t>
            </w:r>
          </w:p>
        </w:tc>
        <w:tc>
          <w:tcPr>
            <w:tcW w:type="dxa" w:w="4819"/>
          </w:tcPr>
          <w:p>
            <w:r>
              <w:t xml:space="preserve">Первичный: команды разработки/техписатели ПВТ Беларуси и СНГ. Вторичный: студенты и преподаватели курсов по моделированию (в том числе сам курс «ИТиВП» БГУИР — потенциальный образовательный канал). Третичный (после MVP): глобальный англоязычный рынок разработчиков</w:t>
            </w:r>
          </w:p>
        </w:tc>
      </w:tr>
      <w:tr>
        <w:tc>
          <w:tcPr>
            <w:tcW w:type="dxa" w:w="4819"/>
          </w:tcPr>
          <w:p>
            <w:r>
              <w:t xml:space="preserve">Ценностное предложение</w:t>
            </w:r>
          </w:p>
        </w:tc>
        <w:tc>
          <w:tcPr>
            <w:tcW w:type="dxa" w:w="4819"/>
          </w:tcPr>
          <w:p>
            <w:r>
              <w:t xml:space="preserve">См. раздел 1</w:t>
            </w:r>
          </w:p>
        </w:tc>
      </w:tr>
      <w:tr>
        <w:tc>
          <w:tcPr>
            <w:tcW w:type="dxa" w:w="4819"/>
          </w:tcPr>
          <w:p>
            <w:r>
              <w:t xml:space="preserve">Каналы</w:t>
            </w:r>
          </w:p>
        </w:tc>
        <w:tc>
          <w:tcPr>
            <w:tcW w:type="dxa" w:w="4819"/>
          </w:tcPr>
          <w:p>
            <w:r>
              <w:t xml:space="preserve">Органический поиск (ключевые слова из ЛР1: «text to diagram», «diagram as code»), расширение/интеграция для GitHub (по аналогии с официальным расширением PlantUML — ЛР5), сообщества разработчиков, образовательный канал через вузы</w:t>
            </w:r>
          </w:p>
        </w:tc>
      </w:tr>
      <w:tr>
        <w:tc>
          <w:tcPr>
            <w:tcW w:type="dxa" w:w="4819"/>
          </w:tcPr>
          <w:p>
            <w:r>
              <w:t xml:space="preserve">Отношения с клиентами</w:t>
            </w:r>
          </w:p>
        </w:tc>
        <w:tc>
          <w:tcPr>
            <w:tcW w:type="dxa" w:w="4819"/>
          </w:tcPr>
          <w:p>
            <w:r>
              <w:t xml:space="preserve">Самообслуживание на бесплатном тарифе (документация, cheat sheet DSL — уже спроектированы как модальное окно документации), персональная поддержка на платных тарифах</w:t>
            </w:r>
          </w:p>
        </w:tc>
      </w:tr>
      <w:tr>
        <w:tc>
          <w:tcPr>
            <w:tcW w:type="dxa" w:w="4819"/>
          </w:tcPr>
          <w:p>
            <w:r>
              <w:t xml:space="preserve">Потоки доходов</w:t>
            </w:r>
          </w:p>
        </w:tc>
        <w:tc>
          <w:tcPr>
            <w:tcW w:type="dxa" w:w="4819"/>
          </w:tcPr>
          <w:p>
            <w:r>
              <w:t xml:space="preserve">Подписка по местам с AI-квотой на тариф: рабочее допущение </w:t>
            </w:r>
            <w:r>
              <w:rPr>
                <w:b/>
                <w:bCs/>
              </w:rPr>
              <w:t xml:space="preserve">$8/участник/мес ≈ $480/год на платящую компанию</w:t>
            </w:r>
            <w:r>
              <w:t xml:space="preserve"> (5 человек в команде-адептере, обоснование и весь расчёт — ЛР2-3, раздел 4) — та же цифра, что использована во всех рыночных расчётах, без расхождений</w:t>
            </w:r>
          </w:p>
        </w:tc>
      </w:tr>
      <w:tr>
        <w:tc>
          <w:tcPr>
            <w:tcW w:type="dxa" w:w="4819"/>
          </w:tcPr>
          <w:p>
            <w:r>
              <w:t xml:space="preserve">Ключевые ресурсы</w:t>
            </w:r>
          </w:p>
        </w:tc>
        <w:tc>
          <w:tcPr>
            <w:tcW w:type="dxa" w:w="4819"/>
          </w:tcPr>
          <w:p>
            <w:r>
              <w:t xml:space="preserve">Грамматика DSL (</w:t>
            </w:r>
            <w:r>
              <w:rPr>
                <w:rFonts w:ascii="Consolas" w:cs="Consolas" w:eastAsia="Consolas" w:hAnsi="Consolas"/>
              </w:rPr>
              <w:t xml:space="preserve">grammar.lark</w:t>
            </w:r>
            <w:r>
              <w:t xml:space="preserve">), реестр плагинов нотаций, абстракция </w:t>
            </w:r>
            <w:r>
              <w:rPr>
                <w:rFonts w:ascii="Consolas" w:cs="Consolas" w:eastAsia="Consolas" w:hAnsi="Consolas"/>
              </w:rPr>
              <w:t xml:space="preserve">AIProvider</w:t>
            </w:r>
            <w:r>
              <w:t xml:space="preserve">, IDE-фронтенд на Monaco</w:t>
            </w:r>
          </w:p>
        </w:tc>
      </w:tr>
      <w:tr>
        <w:tc>
          <w:tcPr>
            <w:tcW w:type="dxa" w:w="4819"/>
          </w:tcPr>
          <w:p>
            <w:r>
              <w:t xml:space="preserve">Ключевые действия</w:t>
            </w:r>
          </w:p>
        </w:tc>
        <w:tc>
          <w:tcPr>
            <w:tcW w:type="dxa" w:w="4819"/>
          </w:tcPr>
          <w:p>
            <w:r>
              <w:t xml:space="preserve">Разработка новых нотаций по волнам (Wave 1-4), доработка промптов AI-режимов, поддержка рендер-пайплайна, поддержка документации</w:t>
            </w:r>
          </w:p>
        </w:tc>
      </w:tr>
      <w:tr>
        <w:tc>
          <w:tcPr>
            <w:tcW w:type="dxa" w:w="4819"/>
          </w:tcPr>
          <w:p>
            <w:r>
              <w:t xml:space="preserve">Партнёры</w:t>
            </w:r>
          </w:p>
        </w:tc>
        <w:tc>
          <w:tcPr>
            <w:tcW w:type="dxa" w:w="4819"/>
          </w:tcPr>
          <w:p>
            <w:r>
              <w:t xml:space="preserve">LLM/VLM-провайдер (OpenAI/Anthropic — сменный через </w:t>
            </w:r>
            <w:r>
              <w:rPr>
                <w:rFonts w:ascii="Consolas" w:cs="Consolas" w:eastAsia="Consolas" w:hAnsi="Consolas"/>
              </w:rPr>
              <w:t xml:space="preserve">.env</w:t>
            </w:r>
            <w:r>
              <w:t xml:space="preserve">), GitHub/GitLab (канал дистрибуции и интеграция хранения), Render + Netlify (хостинг), Neon (управляемый PostgreSQL)</w:t>
            </w:r>
          </w:p>
        </w:tc>
      </w:tr>
      <w:tr>
        <w:tc>
          <w:tcPr>
            <w:tcW w:type="dxa" w:w="4819"/>
          </w:tcPr>
          <w:p>
            <w:r>
              <w:t xml:space="preserve">Структура затрат</w:t>
            </w:r>
          </w:p>
        </w:tc>
        <w:tc>
          <w:tcPr>
            <w:tcW w:type="dxa" w:w="4819"/>
          </w:tcPr>
          <w:p>
            <w:r>
              <w:t xml:space="preserve">Переменные — оплата LLM API (растёт с базой пользователей, см. ЛР4 «сила поставщиков»); условно-постоянные — хостинг (бесплатные тарифы Render/Netlify/Neon на старте); разработка нотаций и AI-функциональности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Проверка связности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Проверка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4819"/>
          </w:tcPr>
          <w:p>
            <w:r>
              <w:t xml:space="preserve">Сегмент ↔ ценность</w:t>
            </w:r>
          </w:p>
        </w:tc>
        <w:tc>
          <w:tcPr>
            <w:tcW w:type="dxa" w:w="4819"/>
          </w:tcPr>
          <w:p>
            <w:r>
              <w:t xml:space="preserve">ПВТ-командам, уже привыкшим к git-flow, ценность «диаграмма как код + версионирование» понятна без обучения</w:t>
            </w:r>
          </w:p>
        </w:tc>
      </w:tr>
      <w:tr>
        <w:tc>
          <w:tcPr>
            <w:tcW w:type="dxa" w:w="4819"/>
          </w:tcPr>
          <w:p>
            <w:r>
              <w:t xml:space="preserve">Ценность ↔ товар</w:t>
            </w:r>
          </w:p>
        </w:tc>
        <w:tc>
          <w:tcPr>
            <w:tcW w:type="dxa" w:w="4819"/>
          </w:tcPr>
          <w:p>
            <w:r>
              <w:t xml:space="preserve">Базовый товар (Волна 1: DSL+рендер+сохранение+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+auth) реально создаёт обещанную ценность для минимального сценария («написал DSL — увидел диаграмму — сохранил версию»)</w:t>
            </w:r>
          </w:p>
        </w:tc>
      </w:tr>
      <w:tr>
        <w:tc>
          <w:tcPr>
            <w:tcW w:type="dxa" w:w="4819"/>
          </w:tcPr>
          <w:p>
            <w:r>
              <w:t xml:space="preserve">Товар ↔ доход</w:t>
            </w:r>
          </w:p>
        </w:tc>
        <w:tc>
          <w:tcPr>
            <w:tcW w:type="dxa" w:w="4819"/>
          </w:tcPr>
          <w:p>
            <w:r>
              <w:t xml:space="preserve">AI-квота как платный лимит — понятная точка монетизации, подтверждена рынком (Eraser.io)</w:t>
            </w:r>
          </w:p>
        </w:tc>
      </w:tr>
      <w:tr>
        <w:tc>
          <w:tcPr>
            <w:tcW w:type="dxa" w:w="4819"/>
          </w:tcPr>
          <w:p>
            <w:r>
              <w:t xml:space="preserve">Каналы ↔ рынок</w:t>
            </w:r>
          </w:p>
        </w:tc>
        <w:tc>
          <w:tcPr>
            <w:tcW w:type="dxa" w:w="4819"/>
          </w:tcPr>
          <w:p>
            <w:r>
              <w:t xml:space="preserve">Органика через GitHub/поиск соответствует поведению разработчиков (не требует холодных продаж)</w:t>
            </w:r>
          </w:p>
        </w:tc>
      </w:tr>
      <w:tr>
        <w:tc>
          <w:tcPr>
            <w:tcW w:type="dxa" w:w="4819"/>
          </w:tcPr>
          <w:p>
            <w:r>
              <w:t xml:space="preserve">Ресурсы ↔ релиз</w:t>
            </w:r>
          </w:p>
        </w:tc>
        <w:tc>
          <w:tcPr>
            <w:tcW w:type="dxa" w:w="4819"/>
          </w:tcPr>
          <w:p>
            <w:r>
              <w:t xml:space="preserve">Реестр нотаций уже архитектурно спроектирован как открытый для расширения (Open/Closed) — не требует переписывания ядра для новых нотаций по волнам</w:t>
            </w:r>
          </w:p>
        </w:tc>
      </w:tr>
      <w:tr>
        <w:tc>
          <w:tcPr>
            <w:tcW w:type="dxa" w:w="4819"/>
          </w:tcPr>
          <w:p>
            <w:r>
              <w:t xml:space="preserve">Затраты ↔ доход</w:t>
            </w:r>
          </w:p>
        </w:tc>
        <w:tc>
          <w:tcPr>
            <w:tcW w:type="dxa" w:w="4819"/>
          </w:tcPr>
          <w:p>
            <w:r>
              <w:t xml:space="preserve">Главный риск — рост затрат на LLM API быстрее роста платящей базы; квота 20 запросов/день по умолчанию — прямой инструмент контроля этого риска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Бизнес-логика и пользовательские сценарии</w:t>
      </w:r>
    </w:p>
    <w:p>
      <w:pPr>
        <w:pStyle w:val="Heading2"/>
        <w:spacing w:after="100" w:before="200"/>
      </w:pPr>
      <w:r>
        <w:t xml:space="preserve">3.1. Обзорная матрица по ролям (все 3 исходных сценария + 4 новых, закрывающих недостающие семейства методики)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Цель роли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Основные сценарии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Ценность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Связь с монетизацией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Семейство (методика §9)</w:t>
            </w:r>
          </w:p>
        </w:tc>
      </w:tr>
      <w:tr>
        <w:tc>
          <w:tcPr>
            <w:tcW w:type="dxa" w:w="1606"/>
          </w:tcPr>
          <w:p>
            <w:r>
              <w:t xml:space="preserve">Посетитель (ещё не зарегистрирован)</w:t>
            </w:r>
          </w:p>
        </w:tc>
        <w:tc>
          <w:tcPr>
            <w:tcW w:type="dxa" w:w="1606"/>
          </w:tcPr>
          <w:p>
            <w:r>
              <w:t xml:space="preserve">Понять, подходит ли инструмент, прежде чем регистрироваться</w:t>
            </w:r>
          </w:p>
        </w:tc>
        <w:tc>
          <w:tcPr>
            <w:tcW w:type="dxa" w:w="1606"/>
          </w:tcPr>
          <w:p>
            <w:r>
              <w:t xml:space="preserve">Найти DiagramCode через поиск/GitHub → открыть лендинг/документацию → сравнить с PlantUML/Eraser.io</w:t>
            </w:r>
          </w:p>
        </w:tc>
        <w:tc>
          <w:tcPr>
            <w:tcW w:type="dxa" w:w="1606"/>
          </w:tcPr>
          <w:p>
            <w:r>
              <w:t xml:space="preserve">Снижение риска «зря потратить время на регистрацию»</w:t>
            </w:r>
          </w:p>
        </w:tc>
        <w:tc>
          <w:tcPr>
            <w:tcW w:type="dxa" w:w="1606"/>
          </w:tcPr>
          <w:p>
            <w:r>
              <w:t xml:space="preserve">Верхняя часть воронки — не платит, но конвертируется дальше</w:t>
            </w:r>
          </w:p>
        </w:tc>
        <w:tc>
          <w:tcPr>
            <w:tcW w:type="dxa" w:w="1606"/>
          </w:tcPr>
          <w:p>
            <w:r>
              <w:rPr>
                <w:b/>
                <w:bCs/>
              </w:rPr>
              <w:t xml:space="preserve">Discovery / доверие-сравнение</w:t>
            </w:r>
            <w:r>
              <w:t xml:space="preserve"> (новое)</w:t>
            </w:r>
          </w:p>
        </w:tc>
      </w:tr>
      <w:tr>
        <w:tc>
          <w:tcPr>
            <w:tcW w:type="dxa" w:w="1606"/>
          </w:tcPr>
          <w:p>
            <w:r>
              <w:t xml:space="preserve">Пользователь (владелец диаграммы)</w:t>
            </w:r>
          </w:p>
        </w:tc>
        <w:tc>
          <w:tcPr>
            <w:tcW w:type="dxa" w:w="1606"/>
          </w:tcPr>
          <w:p>
            <w:r>
              <w:t xml:space="preserve">Написать/сгенерировать и сохранить диаграмму</w:t>
            </w:r>
          </w:p>
        </w:tc>
        <w:tc>
          <w:tcPr>
            <w:tcW w:type="dxa" w:w="1606"/>
          </w:tcPr>
          <w:p>
            <w:r>
              <w:t xml:space="preserve">Регистрация → вход → написание DSL → Run → сохранение версии → экспорт</w:t>
            </w:r>
          </w:p>
        </w:tc>
        <w:tc>
          <w:tcPr>
            <w:tcW w:type="dxa" w:w="1606"/>
          </w:tcPr>
          <w:p>
            <w:r>
              <w:t xml:space="preserve">Быстрый корректный результат без ручной расстановки фигур</w:t>
            </w:r>
          </w:p>
        </w:tc>
        <w:tc>
          <w:tcPr>
            <w:tcW w:type="dxa" w:w="1606"/>
          </w:tcPr>
          <w:p>
            <w:r>
              <w:t xml:space="preserve">Ядро продукта, бесплатный лимит</w:t>
            </w:r>
          </w:p>
        </w:tc>
        <w:tc>
          <w:tcPr>
            <w:tcW w:type="dxa" w:w="1606"/>
          </w:tcPr>
          <w:p>
            <w:r>
              <w:t xml:space="preserve">Ядро ценности</w:t>
            </w:r>
          </w:p>
        </w:tc>
      </w:tr>
      <w:tr>
        <w:tc>
          <w:tcPr>
            <w:tcW w:type="dxa" w:w="1606"/>
          </w:tcPr>
          <w:p>
            <w:r>
              <w:t xml:space="preserve">Пользователь как AI-заказчик</w:t>
            </w:r>
          </w:p>
        </w:tc>
        <w:tc>
          <w:tcPr>
            <w:tcW w:type="dxa" w:w="1606"/>
          </w:tcPr>
          <w:p>
            <w:r>
              <w:t xml:space="preserve">Получить DSL-код по описанию/изображению</w:t>
            </w:r>
          </w:p>
        </w:tc>
        <w:tc>
          <w:tcPr>
            <w:tcW w:type="dxa" w:w="1606"/>
          </w:tcPr>
          <w:p>
            <w:r>
              <w:t xml:space="preserve">Открыть модалку AI → выбрать режим (write/fix_code/fix_error/docs) → получить код → проверить на канвасе</w:t>
            </w:r>
          </w:p>
        </w:tc>
        <w:tc>
          <w:tcPr>
            <w:tcW w:type="dxa" w:w="1606"/>
          </w:tcPr>
          <w:p>
            <w:r>
              <w:t xml:space="preserve">Экономия времени на изучение синтаксиса DSL</w:t>
            </w:r>
          </w:p>
        </w:tc>
        <w:tc>
          <w:tcPr>
            <w:tcW w:type="dxa" w:w="1606"/>
          </w:tcPr>
          <w:p>
            <w:r>
              <w:t xml:space="preserve">Прямой источник расхода AI-квоты</w:t>
            </w:r>
          </w:p>
        </w:tc>
        <w:tc>
          <w:tcPr>
            <w:tcW w:type="dxa" w:w="1606"/>
          </w:tcPr>
          <w:p>
            <w:r>
              <w:t xml:space="preserve">Ядро ценности</w:t>
            </w:r>
          </w:p>
        </w:tc>
      </w:tr>
      <w:tr>
        <w:tc>
          <w:tcPr>
            <w:tcW w:type="dxa" w:w="1606"/>
          </w:tcPr>
          <w:p>
            <w:r>
              <w:t xml:space="preserve">Пользователь, исчерпавший AI-квоту</w:t>
            </w:r>
          </w:p>
        </w:tc>
        <w:tc>
          <w:tcPr>
            <w:tcW w:type="dxa" w:w="1606"/>
          </w:tcPr>
          <w:p>
            <w:r>
              <w:t xml:space="preserve">Продолжить пользоваться AI сверх бесплатного лимита</w:t>
            </w:r>
          </w:p>
        </w:tc>
        <w:tc>
          <w:tcPr>
            <w:tcW w:type="dxa" w:w="1606"/>
          </w:tcPr>
          <w:p>
            <w:r>
              <w:t xml:space="preserve">Получить уведомление об исчерпании квоты → увидеть тарифы → оплатить подписку</w:t>
            </w:r>
          </w:p>
        </w:tc>
        <w:tc>
          <w:tcPr>
            <w:tcW w:type="dxa" w:w="1606"/>
          </w:tcPr>
          <w:p>
            <w:r>
              <w:t xml:space="preserve">Непрерывность работы без потери прогресса</w:t>
            </w:r>
          </w:p>
        </w:tc>
        <w:tc>
          <w:tcPr>
            <w:tcW w:type="dxa" w:w="1606"/>
          </w:tcPr>
          <w:p>
            <w:r>
              <w:rPr>
                <w:b/>
                <w:bCs/>
              </w:rPr>
              <w:t xml:space="preserve">Прямая точка монетизации</w:t>
            </w:r>
            <w:r>
              <w:t xml:space="preserve"> — паспорт ниже</w:t>
            </w:r>
          </w:p>
        </w:tc>
        <w:tc>
          <w:tcPr>
            <w:tcW w:type="dxa" w:w="1606"/>
          </w:tcPr>
          <w:p>
            <w:r>
              <w:rPr>
                <w:b/>
                <w:bCs/>
              </w:rPr>
              <w:t xml:space="preserve">Монетизация</w:t>
            </w:r>
            <w:r>
              <w:t xml:space="preserve"> (новое)</w:t>
            </w:r>
          </w:p>
        </w:tc>
      </w:tr>
      <w:tr>
        <w:tc>
          <w:tcPr>
            <w:tcW w:type="dxa" w:w="1606"/>
          </w:tcPr>
          <w:p>
            <w:r>
              <w:t xml:space="preserve">Пользователь через месяц использования</w:t>
            </w:r>
          </w:p>
        </w:tc>
        <w:tc>
          <w:tcPr>
            <w:tcW w:type="dxa" w:w="1606"/>
          </w:tcPr>
          <w:p>
            <w:r>
              <w:t xml:space="preserve">Продолжать возвращаться к продукту</w:t>
            </w:r>
          </w:p>
        </w:tc>
        <w:tc>
          <w:tcPr>
            <w:tcW w:type="dxa" w:w="1606"/>
          </w:tcPr>
          <w:p>
            <w:r>
              <w:t xml:space="preserve">Открыть сохранённую диаграмму → увидеть историю версий → внести изменения</w:t>
            </w:r>
          </w:p>
        </w:tc>
        <w:tc>
          <w:tcPr>
            <w:tcW w:type="dxa" w:w="1606"/>
          </w:tcPr>
          <w:p>
            <w:r>
              <w:t xml:space="preserve">Накопленная ценность (история, привычка) удерживает от перехода к конкуренту</w:t>
            </w:r>
          </w:p>
        </w:tc>
        <w:tc>
          <w:tcPr>
            <w:tcW w:type="dxa" w:w="1606"/>
          </w:tcPr>
          <w:p>
            <w:r>
              <w:t xml:space="preserve">Снижает отток платящих мест</w:t>
            </w:r>
          </w:p>
        </w:tc>
        <w:tc>
          <w:tcPr>
            <w:tcW w:type="dxa" w:w="1606"/>
          </w:tcPr>
          <w:p>
            <w:r>
              <w:rPr>
                <w:b/>
                <w:bCs/>
              </w:rPr>
              <w:t xml:space="preserve">Удержание</w:t>
            </w:r>
            <w:r>
              <w:t xml:space="preserve"> (новое)</w:t>
            </w:r>
          </w:p>
        </w:tc>
      </w:tr>
      <w:tr>
        <w:tc>
          <w:tcPr>
            <w:tcW w:type="dxa" w:w="1606"/>
          </w:tcPr>
          <w:p>
            <w:r>
              <w:t xml:space="preserve">Пользователь, столкнувшийся с ошибкой</w:t>
            </w:r>
          </w:p>
        </w:tc>
        <w:tc>
          <w:tcPr>
            <w:tcW w:type="dxa" w:w="1606"/>
          </w:tcPr>
          <w:p>
            <w:r>
              <w:t xml:space="preserve">Понять и исправить ошибку без потери работы</w:t>
            </w:r>
          </w:p>
        </w:tc>
        <w:tc>
          <w:tcPr>
            <w:tcW w:type="dxa" w:w="1606"/>
          </w:tcPr>
          <w:p>
            <w:r>
              <w:t xml:space="preserve">Ошибка синтаксиса DSL → вкладка Problems показывает строку/причину → режим AI «Исправить ошибку» предлагает фикс</w:t>
            </w:r>
          </w:p>
        </w:tc>
        <w:tc>
          <w:tcPr>
            <w:tcW w:type="dxa" w:w="1606"/>
          </w:tcPr>
          <w:p>
            <w:r>
              <w:t xml:space="preserve">Не потерять доверие к инструменту в момент неудачи</w:t>
            </w:r>
          </w:p>
        </w:tc>
        <w:tc>
          <w:tcPr>
            <w:tcW w:type="dxa" w:w="1606"/>
          </w:tcPr>
          <w:p>
            <w:r>
              <w:t xml:space="preserve">Косвенно снижает отток (плохой опыт ошибки = причина ухода)</w:t>
            </w:r>
          </w:p>
        </w:tc>
        <w:tc>
          <w:tcPr>
            <w:tcW w:type="dxa" w:w="1606"/>
          </w:tcPr>
          <w:p>
            <w:r>
              <w:rPr>
                <w:b/>
                <w:bCs/>
              </w:rPr>
              <w:t xml:space="preserve">Поддержка/восстановление после ошибки</w:t>
            </w:r>
            <w:r>
              <w:t xml:space="preserve"> (новое)</w:t>
            </w:r>
          </w:p>
        </w:tc>
      </w:tr>
      <w:tr>
        <w:tc>
          <w:tcPr>
            <w:tcW w:type="dxa" w:w="1606"/>
          </w:tcPr>
          <w:p>
            <w:r>
              <w:t xml:space="preserve">Соавтор (Волна 2)</w:t>
            </w:r>
          </w:p>
        </w:tc>
        <w:tc>
          <w:tcPr>
            <w:tcW w:type="dxa" w:w="1606"/>
          </w:tcPr>
          <w:p>
            <w:r>
              <w:t xml:space="preserve">Совместно редактировать диаграмму</w:t>
            </w:r>
          </w:p>
        </w:tc>
        <w:tc>
          <w:tcPr>
            <w:tcW w:type="dxa" w:w="1606"/>
          </w:tcPr>
          <w:p>
            <w:r>
              <w:t xml:space="preserve">Получить приглашение → редактировать одновременно с владельцем → видеть изменения через WebSocket</w:t>
            </w:r>
          </w:p>
        </w:tc>
        <w:tc>
          <w:tcPr>
            <w:tcW w:type="dxa" w:w="1606"/>
          </w:tcPr>
          <w:p>
            <w:r>
              <w:t xml:space="preserve">Командная работа без конфликтов версий</w:t>
            </w:r>
          </w:p>
        </w:tc>
        <w:tc>
          <w:tcPr>
            <w:tcW w:type="dxa" w:w="1606"/>
          </w:tcPr>
          <w:p>
            <w:r>
              <w:t xml:space="preserve">Расширяет число платящих мест на одну диаграмму</w:t>
            </w:r>
          </w:p>
        </w:tc>
        <w:tc>
          <w:tcPr>
            <w:tcW w:type="dxa" w:w="1606"/>
          </w:tcPr>
          <w:p>
            <w:r>
              <w:t xml:space="preserve">Ядро ценности (командное)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3.2. Паспорт сценария — «Оплата после исчерпания бесплатной AI-квоты» (полный формат, методика §10.1)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Название</w:t>
            </w:r>
          </w:p>
        </w:tc>
        <w:tc>
          <w:tcPr>
            <w:tcW w:type="dxa" w:w="4819"/>
          </w:tcPr>
          <w:p>
            <w:r>
              <w:t xml:space="preserve">Переход на платный тариф после исчерпания AI-квоты</w:t>
            </w:r>
          </w:p>
        </w:tc>
      </w:tr>
      <w:tr>
        <w:tc>
          <w:tcPr>
            <w:tcW w:type="dxa" w:w="4819"/>
          </w:tcPr>
          <w:p>
            <w:r>
              <w:t xml:space="preserve">Роль</w:t>
            </w:r>
          </w:p>
        </w:tc>
        <w:tc>
          <w:tcPr>
            <w:tcW w:type="dxa" w:w="4819"/>
          </w:tcPr>
          <w:p>
            <w:r>
              <w:t xml:space="preserve">Пользователь (Free-тариф)</w:t>
            </w:r>
          </w:p>
        </w:tc>
      </w:tr>
      <w:tr>
        <w:tc>
          <w:tcPr>
            <w:tcW w:type="dxa" w:w="4819"/>
          </w:tcPr>
          <w:p>
            <w:r>
              <w:t xml:space="preserve">Контекст</w:t>
            </w:r>
          </w:p>
        </w:tc>
        <w:tc>
          <w:tcPr>
            <w:tcW w:type="dxa" w:w="4819"/>
          </w:tcPr>
          <w:p>
            <w:r>
              <w:t xml:space="preserve">Пользователь активно работает с AI-режимами несколько дней подряд</w:t>
            </w:r>
          </w:p>
        </w:tc>
      </w:tr>
      <w:tr>
        <w:tc>
          <w:tcPr>
            <w:tcW w:type="dxa" w:w="4819"/>
          </w:tcPr>
          <w:p>
            <w:r>
              <w:t xml:space="preserve">Триггер</w:t>
            </w:r>
          </w:p>
        </w:tc>
        <w:tc>
          <w:tcPr>
            <w:tcW w:type="dxa" w:w="4819"/>
          </w:tcPr>
          <w:p>
            <w:r>
              <w:t xml:space="preserve">Достигнут дневной лимит (20 AI-запросов/день по умолчанию)</w:t>
            </w:r>
          </w:p>
        </w:tc>
      </w:tr>
      <w:tr>
        <w:tc>
          <w:tcPr>
            <w:tcW w:type="dxa" w:w="4819"/>
          </w:tcPr>
          <w:p>
            <w:r>
              <w:t xml:space="preserve">Цель</w:t>
            </w:r>
          </w:p>
        </w:tc>
        <w:tc>
          <w:tcPr>
            <w:tcW w:type="dxa" w:w="4819"/>
          </w:tcPr>
          <w:p>
            <w:r>
              <w:t xml:space="preserve">Продолжить использовать AI без ожидания сброса лимита следующим днём</w:t>
            </w:r>
          </w:p>
        </w:tc>
      </w:tr>
      <w:tr>
        <w:tc>
          <w:tcPr>
            <w:tcW w:type="dxa" w:w="4819"/>
          </w:tcPr>
          <w:p>
            <w:r>
              <w:t xml:space="preserve">Проблема/барьер</w:t>
            </w:r>
          </w:p>
        </w:tc>
        <w:tc>
          <w:tcPr>
            <w:tcW w:type="dxa" w:w="4819"/>
          </w:tcPr>
          <w:p>
            <w:r>
              <w:t xml:space="preserve">Раздражение от блокировки в середине рабочей задачи; риск ухода к бесплатному конкуренту (PlantUML/Mermaid)</w:t>
            </w:r>
          </w:p>
        </w:tc>
      </w:tr>
      <w:tr>
        <w:tc>
          <w:tcPr>
            <w:tcW w:type="dxa" w:w="4819"/>
          </w:tcPr>
          <w:p>
            <w:r>
              <w:t xml:space="preserve">Предусловия</w:t>
            </w:r>
          </w:p>
        </w:tc>
        <w:tc>
          <w:tcPr>
            <w:tcW w:type="dxa" w:w="4819"/>
          </w:tcPr>
          <w:p>
            <w:r>
              <w:t xml:space="preserve">Пользователь зарегистрирован, у него есть хотя бы одна сохранённая диаграмма</w:t>
            </w:r>
          </w:p>
        </w:tc>
      </w:tr>
      <w:tr>
        <w:tc>
          <w:tcPr>
            <w:tcW w:type="dxa" w:w="4819"/>
          </w:tcPr>
          <w:p>
            <w:r>
              <w:t xml:space="preserve">Основные шаги</w:t>
            </w:r>
          </w:p>
        </w:tc>
        <w:tc>
          <w:tcPr>
            <w:tcW w:type="dxa" w:w="4819"/>
          </w:tcPr>
          <w:p>
            <w:r>
              <w:t xml:space="preserve">1) Запрос к AI отклонён с объяснением причины → 2) Показан экран тарифов с прямым сравнением Free/платных лимитов → 3) Выбор тарифа → 4) Оплата → 5) Немедленное снятие ограничения</w:t>
            </w:r>
          </w:p>
        </w:tc>
      </w:tr>
      <w:tr>
        <w:tc>
          <w:tcPr>
            <w:tcW w:type="dxa" w:w="4819"/>
          </w:tcPr>
          <w:p>
            <w:r>
              <w:t xml:space="preserve">Данные</w:t>
            </w:r>
          </w:p>
        </w:tc>
        <w:tc>
          <w:tcPr>
            <w:tcW w:type="dxa" w:w="4819"/>
          </w:tcPr>
          <w:p>
            <w:r>
              <w:t xml:space="preserve">Текущее потребление квоты, история использования AI за период, выбранный тариф</w:t>
            </w:r>
          </w:p>
        </w:tc>
      </w:tr>
      <w:tr>
        <w:tc>
          <w:tcPr>
            <w:tcW w:type="dxa" w:w="4819"/>
          </w:tcPr>
          <w:p>
            <w:r>
              <w:t xml:space="preserve">Результат</w:t>
            </w:r>
          </w:p>
        </w:tc>
        <w:tc>
          <w:tcPr>
            <w:tcW w:type="dxa" w:w="4819"/>
          </w:tcPr>
          <w:p>
            <w:r>
              <w:t xml:space="preserve">Продолженная работа без потери контекста задачи</w:t>
            </w:r>
          </w:p>
        </w:tc>
      </w:tr>
      <w:tr>
        <w:tc>
          <w:tcPr>
            <w:tcW w:type="dxa" w:w="4819"/>
          </w:tcPr>
          <w:p>
            <w:r>
              <w:t xml:space="preserve">Точка монетизации</w:t>
            </w:r>
          </w:p>
        </w:tc>
        <w:tc>
          <w:tcPr>
            <w:tcW w:type="dxa" w:w="4819"/>
          </w:tcPr>
          <w:p>
            <w:r>
              <w:t xml:space="preserve">Именно здесь — единственный момент, где бесплатный пользователь превращается в платящего</w:t>
            </w:r>
          </w:p>
        </w:tc>
      </w:tr>
      <w:tr>
        <w:tc>
          <w:tcPr>
            <w:tcW w:type="dxa" w:w="4819"/>
          </w:tcPr>
          <w:p>
            <w:r>
              <w:t xml:space="preserve">Метрики</w:t>
            </w:r>
          </w:p>
        </w:tc>
        <w:tc>
          <w:tcPr>
            <w:tcW w:type="dxa" w:w="4819"/>
          </w:tcPr>
          <w:p>
            <w:r>
              <w:t xml:space="preserve">Доля пользователей, увидевших экран тарифов, которые оплачивают в течение 24 часов</w:t>
            </w:r>
          </w:p>
        </w:tc>
      </w:tr>
      <w:tr>
        <w:tc>
          <w:tcPr>
            <w:tcW w:type="dxa" w:w="4819"/>
          </w:tcPr>
          <w:p>
            <w:r>
              <w:t xml:space="preserve">Риски</w:t>
            </w:r>
          </w:p>
        </w:tc>
        <w:tc>
          <w:tcPr>
            <w:tcW w:type="dxa" w:w="4819"/>
          </w:tcPr>
          <w:p>
            <w:r>
              <w:t xml:space="preserve">Слишком агрессivnoe/непонятное сообщение об ограничении оттолкнёт, а не сконвертирует — формулировка ошибки требует отдельного UX-тестирования</w:t>
            </w:r>
          </w:p>
        </w:tc>
      </w:tr>
      <w:tr>
        <w:tc>
          <w:tcPr>
            <w:tcW w:type="dxa" w:w="4819"/>
          </w:tcPr>
          <w:p>
            <w:r>
              <w:t xml:space="preserve">Связь с Канвас</w:t>
            </w:r>
          </w:p>
        </w:tc>
        <w:tc>
          <w:tcPr>
            <w:tcW w:type="dxa" w:w="4819"/>
          </w:tcPr>
          <w:p>
            <w:r>
              <w:t xml:space="preserve">Напрямую реализует блок «Потоки доходов» (раздел 2)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3.3. Паспорт сценария — «Восстановление после ошибки синтаксиса» (полный формат)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Название</w:t>
            </w:r>
          </w:p>
        </w:tc>
        <w:tc>
          <w:tcPr>
            <w:tcW w:type="dxa" w:w="4819"/>
          </w:tcPr>
          <w:p>
            <w:r>
              <w:t xml:space="preserve">Диагностика и исправление ошибки DSL</w:t>
            </w:r>
          </w:p>
        </w:tc>
      </w:tr>
      <w:tr>
        <w:tc>
          <w:tcPr>
            <w:tcW w:type="dxa" w:w="4819"/>
          </w:tcPr>
          <w:p>
            <w:r>
              <w:t xml:space="preserve">Роль</w:t>
            </w:r>
          </w:p>
        </w:tc>
        <w:tc>
          <w:tcPr>
            <w:tcW w:type="dxa" w:w="4819"/>
          </w:tcPr>
          <w:p>
            <w:r>
              <w:t xml:space="preserve">Пользователь (любой тариф)</w:t>
            </w:r>
          </w:p>
        </w:tc>
      </w:tr>
      <w:tr>
        <w:tc>
          <w:tcPr>
            <w:tcW w:type="dxa" w:w="4819"/>
          </w:tcPr>
          <w:p>
            <w:r>
              <w:t xml:space="preserve">Контекст</w:t>
            </w:r>
          </w:p>
        </w:tc>
        <w:tc>
          <w:tcPr>
            <w:tcW w:type="dxa" w:w="4819"/>
          </w:tcPr>
          <w:p>
            <w:r>
              <w:t xml:space="preserve">Пользователь пишет или редактирует DSL-код вручную</w:t>
            </w:r>
          </w:p>
        </w:tc>
      </w:tr>
      <w:tr>
        <w:tc>
          <w:tcPr>
            <w:tcW w:type="dxa" w:w="4819"/>
          </w:tcPr>
          <w:p>
            <w:r>
              <w:t xml:space="preserve">Триггер</w:t>
            </w:r>
          </w:p>
        </w:tc>
        <w:tc>
          <w:tcPr>
            <w:tcW w:type="dxa" w:w="4819"/>
          </w:tcPr>
          <w:p>
            <w:r>
              <w:t xml:space="preserve">Парсер возвращает синтаксическую ошибку при нажатии Run</w:t>
            </w:r>
          </w:p>
        </w:tc>
      </w:tr>
      <w:tr>
        <w:tc>
          <w:tcPr>
            <w:tcW w:type="dxa" w:w="4819"/>
          </w:tcPr>
          <w:p>
            <w:r>
              <w:t xml:space="preserve">Цель</w:t>
            </w:r>
          </w:p>
        </w:tc>
        <w:tc>
          <w:tcPr>
            <w:tcW w:type="dxa" w:w="4819"/>
          </w:tcPr>
          <w:p>
            <w:r>
              <w:t xml:space="preserve">Получить корректный рендер, не разбираясь в грамматике DSL с нуля</w:t>
            </w:r>
          </w:p>
        </w:tc>
      </w:tr>
      <w:tr>
        <w:tc>
          <w:tcPr>
            <w:tcW w:type="dxa" w:w="4819"/>
          </w:tcPr>
          <w:p>
            <w:r>
              <w:t xml:space="preserve">Проблема/барьер</w:t>
            </w:r>
          </w:p>
        </w:tc>
        <w:tc>
          <w:tcPr>
            <w:tcW w:type="dxa" w:w="4819"/>
          </w:tcPr>
          <w:p>
            <w:r>
              <w:t xml:space="preserve">Сообщение об ошибке может быть непонятным новичку; риск бросить редактор в разочаровании</w:t>
            </w:r>
          </w:p>
        </w:tc>
      </w:tr>
      <w:tr>
        <w:tc>
          <w:tcPr>
            <w:tcW w:type="dxa" w:w="4819"/>
          </w:tcPr>
          <w:p>
            <w:r>
              <w:t xml:space="preserve">Предусловия</w:t>
            </w:r>
          </w:p>
        </w:tc>
        <w:tc>
          <w:tcPr>
            <w:tcW w:type="dxa" w:w="4819"/>
          </w:tcPr>
          <w:p>
            <w:r>
              <w:t xml:space="preserve">Есть текст DSL с ошибкой, доступна вкладка Problems</w:t>
            </w:r>
          </w:p>
        </w:tc>
      </w:tr>
      <w:tr>
        <w:tc>
          <w:tcPr>
            <w:tcW w:type="dxa" w:w="4819"/>
          </w:tcPr>
          <w:p>
            <w:r>
              <w:t xml:space="preserve">Основные шаги</w:t>
            </w:r>
          </w:p>
        </w:tc>
        <w:tc>
          <w:tcPr>
            <w:tcW w:type="dxa" w:w="4819"/>
          </w:tcPr>
          <w:p>
            <w:r>
              <w:t xml:space="preserve">1) Ошибка подсвечивается в редакторе с точной позицией (строка/столбец) → 2) Вкладка Problems показывает текст ошибки → 3) Пользователь нажимает AI-режим «Исправить ошибку» → 4) Система передаёт AI код + текст ошибки → 5) Предложенный фикс встраивается в редактор с атрибуцией</w:t>
            </w:r>
          </w:p>
        </w:tc>
      </w:tr>
      <w:tr>
        <w:tc>
          <w:tcPr>
            <w:tcW w:type="dxa" w:w="4819"/>
          </w:tcPr>
          <w:p>
            <w:r>
              <w:t xml:space="preserve">Данные</w:t>
            </w:r>
          </w:p>
        </w:tc>
        <w:tc>
          <w:tcPr>
            <w:tcW w:type="dxa" w:w="4819"/>
          </w:tcPr>
          <w:p>
            <w:r>
              <w:t xml:space="preserve">Текст ошибки, позиция, исходный DSL-код</w:t>
            </w:r>
          </w:p>
        </w:tc>
      </w:tr>
      <w:tr>
        <w:tc>
          <w:tcPr>
            <w:tcW w:type="dxa" w:w="4819"/>
          </w:tcPr>
          <w:p>
            <w:r>
              <w:t xml:space="preserve">Результат</w:t>
            </w:r>
          </w:p>
        </w:tc>
        <w:tc>
          <w:tcPr>
            <w:tcW w:type="dxa" w:w="4819"/>
          </w:tcPr>
          <w:p>
            <w:r>
              <w:t xml:space="preserve">Работающий рендер без ручного дебага грамматики</w:t>
            </w:r>
          </w:p>
        </w:tc>
      </w:tr>
      <w:tr>
        <w:tc>
          <w:tcPr>
            <w:tcW w:type="dxa" w:w="4819"/>
          </w:tcPr>
          <w:p>
            <w:r>
              <w:t xml:space="preserve">Точка монетизации</w:t>
            </w:r>
          </w:p>
        </w:tc>
        <w:tc>
          <w:tcPr>
            <w:tcW w:type="dxa" w:w="4819"/>
          </w:tcPr>
          <w:p>
            <w:r>
              <w:t xml:space="preserve">Косвенная — расходует AI-квоту при использовании режима «Исправить ошибку»</w:t>
            </w:r>
          </w:p>
        </w:tc>
      </w:tr>
      <w:tr>
        <w:tc>
          <w:tcPr>
            <w:tcW w:type="dxa" w:w="4819"/>
          </w:tcPr>
          <w:p>
            <w:r>
              <w:t xml:space="preserve">Метрики</w:t>
            </w:r>
          </w:p>
        </w:tc>
        <w:tc>
          <w:tcPr>
            <w:tcW w:type="dxa" w:w="4819"/>
          </w:tcPr>
          <w:p>
            <w:r>
              <w:t xml:space="preserve">Доля ошибок, исправленных через AI-режим, vs. вручную</w:t>
            </w:r>
          </w:p>
        </w:tc>
      </w:tr>
      <w:tr>
        <w:tc>
          <w:tcPr>
            <w:tcW w:type="dxa" w:w="4819"/>
          </w:tcPr>
          <w:p>
            <w:r>
              <w:t xml:space="preserve">Риски</w:t>
            </w:r>
          </w:p>
        </w:tc>
        <w:tc>
          <w:tcPr>
            <w:tcW w:type="dxa" w:w="4819"/>
          </w:tcPr>
          <w:p>
            <w:r>
              <w:t xml:space="preserve">Если AI многократно предлагает неверный фикс — подрывает доверие к самому AI-режиму, не только к парсеру</w:t>
            </w:r>
          </w:p>
        </w:tc>
      </w:tr>
      <w:tr>
        <w:tc>
          <w:tcPr>
            <w:tcW w:type="dxa" w:w="4819"/>
          </w:tcPr>
          <w:p>
            <w:r>
              <w:t xml:space="preserve">Связь с Канвас</w:t>
            </w:r>
          </w:p>
        </w:tc>
        <w:tc>
          <w:tcPr>
            <w:tcW w:type="dxa" w:w="4819"/>
          </w:tcPr>
          <w:p>
            <w:r>
              <w:t xml:space="preserve">Снижает барьер входа (ЛР4, «доверительный барьер») за счёт быстрого восстановления после неудачи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Страницы, экраны, функционал (техническое задание первого релиза)</w:t>
      </w:r>
    </w:p>
    <w:p>
      <w:pPr>
        <w:spacing w:after="120"/>
      </w:pPr>
      <w:r>
        <w:t xml:space="preserve">Состав уже спроектирован в виде 13 макетов интерфейса реального продукта (</w:t>
      </w:r>
      <w:r>
        <w:rPr>
          <w:rFonts w:ascii="Consolas" w:cs="Consolas" w:eastAsia="Consolas" w:hAnsi="Consolas"/>
        </w:rPr>
        <w:t xml:space="preserve">design/mockups/*.dc.html</w:t>
      </w:r>
      <w:r>
        <w:t xml:space="preserve">). Ниже — не просто список экранов, а матрица «сценарий → экран» (методика §7, «Матрица_сценарий_интерфейс»): каждый экран обоснован конкретным шагом конкретного сценария из раздела 3, а не взят из макетов «в общем».</w:t>
      </w:r>
    </w:p>
    <w:p>
      <w:pPr>
        <w:pStyle w:val="Heading2"/>
        <w:spacing w:after="100" w:before="200"/>
      </w:pPr>
      <w:r>
        <w:t xml:space="preserve">4.1. Матрица сценарий → интерфейсная единица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Источник (сценарий, шаг)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Задача экрана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Экран/интерфейсная единица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Приоритет</w:t>
            </w:r>
          </w:p>
        </w:tc>
      </w:tr>
      <w:tr>
        <w:tc>
          <w:tcPr>
            <w:tcW w:type="dxa" w:w="2409"/>
          </w:tcPr>
          <w:p>
            <w:r>
              <w:t xml:space="preserve">Discovery, шаг «открыть лендинг/документацию»</w:t>
            </w:r>
          </w:p>
        </w:tc>
        <w:tc>
          <w:tcPr>
            <w:tcW w:type="dxa" w:w="2409"/>
          </w:tcPr>
          <w:p>
            <w:r>
              <w:t xml:space="preserve">Объяснить продукт до регистрации</w:t>
            </w:r>
          </w:p>
        </w:tc>
        <w:tc>
          <w:tcPr>
            <w:tcW w:type="dxa" w:w="2409"/>
          </w:tcPr>
          <w:p>
            <w:r>
              <w:t xml:space="preserve">Лендинг + встроенная документация (cheat sheet DSL)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</w:tr>
      <w:tr>
        <w:tc>
          <w:tcPr>
            <w:tcW w:type="dxa" w:w="2409"/>
          </w:tcPr>
          <w:p>
            <w:r>
              <w:t xml:space="preserve">Регистрация/вход (общий для всех сценариев)</w:t>
            </w:r>
          </w:p>
        </w:tc>
        <w:tc>
          <w:tcPr>
            <w:tcW w:type="dxa" w:w="2409"/>
          </w:tcPr>
          <w:p>
            <w:r>
              <w:t xml:space="preserve">Аутентификация</w:t>
            </w:r>
          </w:p>
        </w:tc>
        <w:tc>
          <w:tcPr>
            <w:tcW w:type="dxa" w:w="2409"/>
          </w:tcPr>
          <w:p>
            <w:r>
              <w:t xml:space="preserve">Экран логина/регистрации (email+пароль)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</w:tr>
      <w:tr>
        <w:tc>
          <w:tcPr>
            <w:tcW w:type="dxa" w:w="2409"/>
          </w:tcPr>
          <w:p>
            <w:r>
              <w:t xml:space="preserve">Ядро ценности, шаг «написание DSL → Run»</w:t>
            </w:r>
          </w:p>
        </w:tc>
        <w:tc>
          <w:tcPr>
            <w:tcW w:type="dxa" w:w="2409"/>
          </w:tcPr>
          <w:p>
            <w:r>
              <w:t xml:space="preserve">Основная рабочая область</w:t>
            </w:r>
          </w:p>
        </w:tc>
        <w:tc>
          <w:tcPr>
            <w:tcW w:type="dxa" w:w="2409"/>
          </w:tcPr>
          <w:p>
            <w:r>
              <w:t xml:space="preserve">IDE-оболочка (редактор Monaco + канвас в сплите)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</w:tr>
      <w:tr>
        <w:tc>
          <w:tcPr>
            <w:tcW w:type="dxa" w:w="2409"/>
          </w:tcPr>
          <w:p>
            <w:r>
              <w:t xml:space="preserve">Ядро ценности (AI-заказчик), шаг «открыть модалку AI»</w:t>
            </w:r>
          </w:p>
        </w:tc>
        <w:tc>
          <w:tcPr>
            <w:tcW w:type="dxa" w:w="2409"/>
          </w:tcPr>
          <w:p>
            <w:r>
              <w:t xml:space="preserve">Генерация/исправление DSL-кода</w:t>
            </w:r>
          </w:p>
        </w:tc>
        <w:tc>
          <w:tcPr>
            <w:tcW w:type="dxa" w:w="2409"/>
          </w:tcPr>
          <w:p>
            <w:r>
              <w:t xml:space="preserve">Модалка AI-ассистента (4 вкладки режимов)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</w:tr>
      <w:tr>
        <w:tc>
          <w:tcPr>
            <w:tcW w:type="dxa" w:w="2409"/>
          </w:tcPr>
          <w:p>
            <w:r>
              <w:t xml:space="preserve">Восстановление после ошибки, шаг «ошибка подсвечивается»</w:t>
            </w:r>
          </w:p>
        </w:tc>
        <w:tc>
          <w:tcPr>
            <w:tcW w:type="dxa" w:w="2409"/>
          </w:tcPr>
          <w:p>
            <w:r>
              <w:t xml:space="preserve">Показать, где и почему ошибка</w:t>
            </w:r>
          </w:p>
        </w:tc>
        <w:tc>
          <w:tcPr>
            <w:tcW w:type="dxa" w:w="2409"/>
          </w:tcPr>
          <w:p>
            <w:r>
              <w:t xml:space="preserve">Подсветка в редакторе + вкладка Problems нижней панели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</w:tr>
      <w:tr>
        <w:tc>
          <w:tcPr>
            <w:tcW w:type="dxa" w:w="2409"/>
          </w:tcPr>
          <w:p>
            <w:r>
              <w:t xml:space="preserve">Ядро ценности, шаг «сохранение версии → экспорт»</w:t>
            </w:r>
          </w:p>
        </w:tc>
        <w:tc>
          <w:tcPr>
            <w:tcW w:type="dxa" w:w="2409"/>
          </w:tcPr>
          <w:p>
            <w:r>
              <w:t xml:space="preserve">Экспорт результата</w:t>
            </w:r>
          </w:p>
        </w:tc>
        <w:tc>
          <w:tcPr>
            <w:tcW w:type="dxa" w:w="2409"/>
          </w:tcPr>
          <w:p>
            <w:r>
              <w:t xml:space="preserve">Дропдаун Save (устройство — первый релиз; GitHub/Google Drive — следующий, требует OAuth)</w:t>
            </w:r>
          </w:p>
        </w:tc>
        <w:tc>
          <w:tcPr>
            <w:tcW w:type="dxa" w:w="2409"/>
          </w:tcPr>
          <w:p>
            <w:r>
              <w:t xml:space="preserve">Первый релиз — частично</w:t>
            </w:r>
          </w:p>
        </w:tc>
      </w:tr>
      <w:tr>
        <w:tc>
          <w:tcPr>
            <w:tcW w:type="dxa" w:w="2409"/>
          </w:tcPr>
          <w:p>
            <w:r>
              <w:t xml:space="preserve">Удержание, шаг «увидеть историю версий»</w:t>
            </w:r>
          </w:p>
        </w:tc>
        <w:tc>
          <w:tcPr>
            <w:tcW w:type="dxa" w:w="2409"/>
          </w:tcPr>
          <w:p>
            <w:r>
              <w:t xml:space="preserve">Просмотр/откат версий</w:t>
            </w:r>
          </w:p>
        </w:tc>
        <w:tc>
          <w:tcPr>
            <w:tcW w:type="dxa" w:w="2409"/>
          </w:tcPr>
          <w:p>
            <w:r>
              <w:t xml:space="preserve">Модалка истории версий с diff</w:t>
            </w:r>
          </w:p>
        </w:tc>
        <w:tc>
          <w:tcPr>
            <w:tcW w:type="dxa" w:w="2409"/>
          </w:tcPr>
          <w:p>
            <w:r>
              <w:t xml:space="preserve">Следующий релиз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bCs/>
              </w:rPr>
              <w:t xml:space="preserve">Монетизация</w:t>
            </w:r>
            <w:r>
              <w:t xml:space="preserve">, шаг «показан экран тарифов»</w:t>
            </w:r>
          </w:p>
        </w:tc>
        <w:tc>
          <w:tcPr>
            <w:tcW w:type="dxa" w:w="2409"/>
          </w:tcPr>
          <w:p>
            <w:r>
              <w:t xml:space="preserve">Конвертировать Free → платный тариф</w:t>
            </w:r>
          </w:p>
        </w:tc>
        <w:tc>
          <w:tcPr>
            <w:tcW w:type="dxa" w:w="2409"/>
          </w:tcPr>
          <w:p>
            <w:r>
              <w:rPr>
                <w:b/>
                <w:bCs/>
              </w:rPr>
              <w:t xml:space="preserve">Экран/модалка тарифов и оплаты</w:t>
            </w:r>
            <w:r>
              <w:t xml:space="preserve"> (отсутствовал в предыдущей версии — добавлен именно как прямое следствие паспорта сценария из раздела 3.2)</w:t>
            </w:r>
          </w:p>
        </w:tc>
        <w:tc>
          <w:tcPr>
            <w:tcW w:type="dxa" w:w="2409"/>
          </w:tcPr>
          <w:p>
            <w:r>
              <w:t xml:space="preserve">Первый релиз (без него точка монетизации из Канваса нереализуема)</w:t>
            </w:r>
          </w:p>
        </w:tc>
      </w:tr>
      <w:tr>
        <w:tc>
          <w:tcPr>
            <w:tcW w:type="dxa" w:w="2409"/>
          </w:tcPr>
          <w:p>
            <w:r>
              <w:t xml:space="preserve">Ядро ценности, шаг «вставить шаблон нотации»</w:t>
            </w:r>
          </w:p>
        </w:tc>
        <w:tc>
          <w:tcPr>
            <w:tcW w:type="dxa" w:w="2409"/>
          </w:tcPr>
          <w:p>
            <w:r>
              <w:t xml:space="preserve">Быстрый старт без чистого листа</w:t>
            </w:r>
          </w:p>
        </w:tc>
        <w:tc>
          <w:tcPr>
            <w:tcW w:type="dxa" w:w="2409"/>
          </w:tcPr>
          <w:p>
            <w:r>
              <w:t xml:space="preserve">Панель шаблонов нотаций в сайдбаре</w:t>
            </w:r>
          </w:p>
        </w:tc>
        <w:tc>
          <w:tcPr>
            <w:tcW w:type="dxa" w:w="2409"/>
          </w:tcPr>
          <w:p>
            <w:r>
              <w:t xml:space="preserve">Первый релиз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4.2. Состояния интерфейса (методика §12, 8 типов — ранее не описывались вообще)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Где проявляется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Что показывать</w:t>
            </w:r>
          </w:p>
        </w:tc>
      </w:tr>
      <w:tr>
        <w:tc>
          <w:tcPr>
            <w:tcW w:type="dxa" w:w="3212"/>
          </w:tcPr>
          <w:p>
            <w:r>
              <w:t xml:space="preserve">Начальное</w:t>
            </w:r>
          </w:p>
        </w:tc>
        <w:tc>
          <w:tcPr>
            <w:tcW w:type="dxa" w:w="3212"/>
          </w:tcPr>
          <w:p>
            <w:r>
              <w:t xml:space="preserve">IDE при первом открытии новой диаграммы</w:t>
            </w:r>
          </w:p>
        </w:tc>
        <w:tc>
          <w:tcPr>
            <w:tcW w:type="dxa" w:w="3212"/>
          </w:tcPr>
          <w:p>
            <w:r>
              <w:t xml:space="preserve">Пустой редактор с подсказкой «Начните с шаблона или напишите DSL-код»</w:t>
            </w:r>
          </w:p>
        </w:tc>
      </w:tr>
      <w:tr>
        <w:tc>
          <w:tcPr>
            <w:tcW w:type="dxa" w:w="3212"/>
          </w:tcPr>
          <w:p>
            <w:r>
              <w:t xml:space="preserve">Пустое</w:t>
            </w:r>
          </w:p>
        </w:tc>
        <w:tc>
          <w:tcPr>
            <w:tcW w:type="dxa" w:w="3212"/>
          </w:tcPr>
          <w:p>
            <w:r>
              <w:t xml:space="preserve">Список диаграмм пользователя без единой сохранённой версии</w:t>
            </w:r>
          </w:p>
        </w:tc>
        <w:tc>
          <w:tcPr>
            <w:tcW w:type="dxa" w:w="3212"/>
          </w:tcPr>
          <w:p>
            <w:r>
              <w:t xml:space="preserve">«У вас пока нет сохранённых диаграмм» + кнопка «Создать»</w:t>
            </w:r>
          </w:p>
        </w:tc>
      </w:tr>
      <w:tr>
        <w:tc>
          <w:tcPr>
            <w:tcW w:type="dxa" w:w="3212"/>
          </w:tcPr>
          <w:p>
            <w:r>
              <w:t xml:space="preserve">Загрузка</w:t>
            </w:r>
          </w:p>
        </w:tc>
        <w:tc>
          <w:tcPr>
            <w:tcW w:type="dxa" w:w="3212"/>
          </w:tcPr>
          <w:p>
            <w:r>
              <w:t xml:space="preserve">Рендер диаграммы, генерация AI-кода</w:t>
            </w:r>
          </w:p>
        </w:tc>
        <w:tc>
          <w:tcPr>
            <w:tcW w:type="dxa" w:w="3212"/>
          </w:tcPr>
          <w:p>
            <w:r>
              <w:t xml:space="preserve">Индикатор прогресса на канвасе / в модалке AI (AI-генерация может занимать секунды)</w:t>
            </w:r>
          </w:p>
        </w:tc>
      </w:tr>
      <w:tr>
        <w:tc>
          <w:tcPr>
            <w:tcW w:type="dxa" w:w="3212"/>
          </w:tcPr>
          <w:p>
            <w:r>
              <w:t xml:space="preserve">Ошибка</w:t>
            </w:r>
          </w:p>
        </w:tc>
        <w:tc>
          <w:tcPr>
            <w:tcW w:type="dxa" w:w="3212"/>
          </w:tcPr>
          <w:p>
            <w:r>
              <w:t xml:space="preserve">Синтаксическая ошибка DSL, сбой AI-запроса, исчерпание квоты</w:t>
            </w:r>
          </w:p>
        </w:tc>
        <w:tc>
          <w:tcPr>
            <w:tcW w:type="dxa" w:w="3212"/>
          </w:tcPr>
          <w:p>
            <w:r>
              <w:t xml:space="preserve">Точная позиция ошибки (строка/столбец) в редакторе; отдельное сообщение для AI-ошибок vs. синтаксических</w:t>
            </w:r>
          </w:p>
        </w:tc>
      </w:tr>
      <w:tr>
        <w:tc>
          <w:tcPr>
            <w:tcW w:type="dxa" w:w="3212"/>
          </w:tcPr>
          <w:p>
            <w:r>
              <w:t xml:space="preserve">Успех</w:t>
            </w:r>
          </w:p>
        </w:tc>
        <w:tc>
          <w:tcPr>
            <w:tcW w:type="dxa" w:w="3212"/>
          </w:tcPr>
          <w:p>
            <w:r>
              <w:t xml:space="preserve">Диаграмма успешно отрендерена, версия сохранена</w:t>
            </w:r>
          </w:p>
        </w:tc>
        <w:tc>
          <w:tcPr>
            <w:tcW w:type="dxa" w:w="3212"/>
          </w:tcPr>
          <w:p>
            <w:r>
              <w:t xml:space="preserve">Тост-уведомление «OK» (уже спроектировано, </w:t>
            </w:r>
            <w:r>
              <w:rPr>
                <w:rFonts w:ascii="Consolas" w:cs="Consolas" w:eastAsia="Consolas" w:hAnsi="Consolas"/>
              </w:rPr>
              <w:t xml:space="preserve">.toast</w:t>
            </w:r>
            <w:r>
              <w:t xml:space="preserve"> в макетах)</w:t>
            </w:r>
          </w:p>
        </w:tc>
      </w:tr>
      <w:tr>
        <w:tc>
          <w:tcPr>
            <w:tcW w:type="dxa" w:w="3212"/>
          </w:tcPr>
          <w:p>
            <w:r>
              <w:t xml:space="preserve">Ограниченный доступ</w:t>
            </w:r>
          </w:p>
        </w:tc>
        <w:tc>
          <w:tcPr>
            <w:tcW w:type="dxa" w:w="3212"/>
          </w:tcPr>
          <w:p>
            <w:r>
              <w:t xml:space="preserve">AI-квота исчерпана (см. паспорт сценария 3.2)</w:t>
            </w:r>
          </w:p>
        </w:tc>
        <w:tc>
          <w:tcPr>
            <w:tcW w:type="dxa" w:w="3212"/>
          </w:tcPr>
          <w:p>
            <w:r>
              <w:t xml:space="preserve">Блокировка AI-кнопки + прямая ссылка на экран тарифов</w:t>
            </w:r>
          </w:p>
        </w:tc>
      </w:tr>
      <w:tr>
        <w:tc>
          <w:tcPr>
            <w:tcW w:type="dxa" w:w="3212"/>
          </w:tcPr>
          <w:p>
            <w:r>
              <w:t xml:space="preserve">Предупреждение</w:t>
            </w:r>
          </w:p>
        </w:tc>
        <w:tc>
          <w:tcPr>
            <w:tcW w:type="dxa" w:w="3212"/>
          </w:tcPr>
          <w:p>
            <w:r>
              <w:t xml:space="preserve">Валидация нашла warning, не блокирующий рендер (напр. ERD без первичного ключа)</w:t>
            </w:r>
          </w:p>
        </w:tc>
        <w:tc>
          <w:tcPr>
            <w:tcW w:type="dxa" w:w="3212"/>
          </w:tcPr>
          <w:p>
            <w:r>
              <w:t xml:space="preserve">Волнистое подчёркивание жёлтым в редакторе, вкладка Problems</w:t>
            </w:r>
          </w:p>
        </w:tc>
      </w:tr>
      <w:tr>
        <w:tc>
          <w:tcPr>
            <w:tcW w:type="dxa" w:w="3212"/>
          </w:tcPr>
          <w:p>
            <w:r>
              <w:t xml:space="preserve">Повторное использование</w:t>
            </w:r>
          </w:p>
        </w:tc>
        <w:tc>
          <w:tcPr>
            <w:tcW w:type="dxa" w:w="3212"/>
          </w:tcPr>
          <w:p>
            <w:r>
              <w:t xml:space="preserve">Возврат к ранее сохранённой диаграмме</w:t>
            </w:r>
          </w:p>
        </w:tc>
        <w:tc>
          <w:tcPr>
            <w:tcW w:type="dxa" w:w="3212"/>
          </w:tcPr>
          <w:p>
            <w:r>
              <w:t xml:space="preserve">Восстановление состояния канваса и позиции курсора из последней сессии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Деление на релизы</w:t>
      </w:r>
    </w:p>
    <w:p>
      <w:pPr>
        <w:spacing w:after="120"/>
      </w:pPr>
      <w:r>
        <w:t xml:space="preserve">Совпадает с уже принятой архитектурой реализации нотаций реального продукта (волны реализации) — не изобретается заново для курса, а используется как готовый, архитектурно обоснованный ответ.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Релиз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Состав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Что проверяется</w:t>
            </w:r>
          </w:p>
        </w:tc>
      </w:tr>
      <w:tr>
        <w:tc>
          <w:tcPr>
            <w:tcW w:type="dxa" w:w="3212"/>
          </w:tcPr>
          <w:p>
            <w:r>
              <w:t xml:space="preserve">Первый релиз (курсовой срез / Волна 1)</w:t>
            </w:r>
          </w:p>
        </w:tc>
        <w:tc>
          <w:tcPr>
            <w:tcW w:type="dxa" w:w="3212"/>
          </w:tcPr>
          <w:p>
            <w:r>
              <w:t xml:space="preserve">DSL-редактор + рендер + сохранение версий + нотация </w:t>
            </w:r>
            <w:r>
              <w:rPr>
                <w:rFonts w:ascii="Consolas" w:cs="Consolas" w:eastAsia="Consolas" w:hAnsi="Consolas"/>
              </w:rPr>
              <w:t xml:space="preserve">erd.crows_foot.logical</w:t>
            </w:r>
            <w:r>
              <w:t xml:space="preserve"> с валидацией + аутентификация + </w:t>
            </w:r>
            <w:r>
              <w:rPr>
                <w:b/>
                <w:bCs/>
              </w:rPr>
              <w:t xml:space="preserve">экран тарифов/оплаты</w:t>
            </w:r>
            <w:r>
              <w:t xml:space="preserve"> (добавлен по итогам раздела 4 — без него точка монетизации нереализуема)</w:t>
            </w:r>
          </w:p>
        </w:tc>
        <w:tc>
          <w:tcPr>
            <w:tcW w:type="dxa" w:w="3212"/>
          </w:tcPr>
          <w:p>
            <w:r>
              <w:t xml:space="preserve">Спрос, готовность платить за базовый AI-режим, retention на минимальном сценарии</w:t>
            </w:r>
          </w:p>
        </w:tc>
      </w:tr>
      <w:tr>
        <w:tc>
          <w:tcPr>
            <w:tcW w:type="dxa" w:w="3212"/>
          </w:tcPr>
          <w:p>
            <w:r>
              <w:t xml:space="preserve">Второй релиз (Волна 2)</w:t>
            </w:r>
          </w:p>
        </w:tc>
        <w:tc>
          <w:tcPr>
            <w:tcW w:type="dxa" w:w="3212"/>
          </w:tcPr>
          <w:p>
            <w:r>
              <w:t xml:space="preserve">UML use case/sequence/activity/state machine, IDEF3, DFD с декомпозицией, совместное редактирование (WebSocket), режимы AI «Исправить код»/«Документация», OAuth-вход</w:t>
            </w:r>
          </w:p>
        </w:tc>
        <w:tc>
          <w:tcPr>
            <w:tcW w:type="dxa" w:w="3212"/>
          </w:tcPr>
          <w:p>
            <w:r>
              <w:t xml:space="preserve">Удержание, готовность команд к совместной работе, рост платящей базы за счёт мест на диаграмму</w:t>
            </w:r>
          </w:p>
        </w:tc>
      </w:tr>
      <w:tr>
        <w:tc>
          <w:tcPr>
            <w:tcW w:type="dxa" w:w="3212"/>
          </w:tcPr>
          <w:p>
            <w:r>
              <w:t xml:space="preserve">Третий релиз (Волна 3)</w:t>
            </w:r>
          </w:p>
        </w:tc>
        <w:tc>
          <w:tcPr>
            <w:tcW w:type="dxa" w:w="3212"/>
          </w:tcPr>
          <w:p>
            <w:r>
              <w:t xml:space="preserve">Остальные виды UML (13 канонических), IDEF1X отдельно от ERD, полные варианты ERD</w:t>
            </w:r>
          </w:p>
        </w:tc>
        <w:tc>
          <w:tcPr>
            <w:tcW w:type="dxa" w:w="3212"/>
          </w:tcPr>
          <w:p>
            <w:r>
              <w:t xml:space="preserve">Масштабирование охвата нотаций для более requirements-тяжёлых команд (аналитики, архитекторы)</w:t>
            </w:r>
          </w:p>
        </w:tc>
      </w:tr>
      <w:tr>
        <w:tc>
          <w:tcPr>
            <w:tcW w:type="dxa" w:w="3212"/>
          </w:tcPr>
          <w:p>
            <w:r>
              <w:t xml:space="preserve">Четвёртый релиз (Волна 4, после MVP)</w:t>
            </w:r>
          </w:p>
        </w:tc>
        <w:tc>
          <w:tcPr>
            <w:tcW w:type="dxa" w:w="3212"/>
          </w:tcPr>
          <w:p>
            <w:r>
              <w:t xml:space="preserve">BPMN всех видов, сети Петри с анализом достижимости для ограниченных сетей, экспорт в нативные форматы</w:t>
            </w:r>
          </w:p>
        </w:tc>
        <w:tc>
          <w:tcPr>
            <w:tcW w:type="dxa" w:w="3212"/>
          </w:tcPr>
          <w:p>
            <w:r>
              <w:t xml:space="preserve">Выход в смежные ниши (бизнес-процессы, формальный анализ) — отдельная волна монетизации для enterprise-сегмента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5.1. Обоснование очерёдности (качественный скоринг, методика §8 — связь с ценностью/монетизацией/сложность/риск)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Связь с ценностью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Связь с монетизацией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Риск отложить</w:t>
            </w:r>
          </w:p>
        </w:tc>
        <w:tc>
          <w:tcPr>
            <w:tcW w:type="dxa" w:w="1606"/>
            <w:shd w:fill="D9D9D9" w:val="clear"/>
          </w:tcPr>
          <w:p>
            <w:r>
              <w:rPr>
                <w:b/>
                <w:bCs/>
              </w:rPr>
              <w:t xml:space="preserve">Релиз</w:t>
            </w:r>
          </w:p>
        </w:tc>
      </w:tr>
      <w:tr>
        <w:tc>
          <w:tcPr>
            <w:tcW w:type="dxa" w:w="1606"/>
          </w:tcPr>
          <w:p>
            <w:r>
              <w:t xml:space="preserve">DSL-редактор + рендер + версии</w:t>
            </w:r>
          </w:p>
        </w:tc>
        <w:tc>
          <w:tcPr>
            <w:tcW w:type="dxa" w:w="1606"/>
          </w:tcPr>
          <w:p>
            <w:r>
              <w:t xml:space="preserve">Высокая — без этого нет продукта вообще</w:t>
            </w:r>
          </w:p>
        </w:tc>
        <w:tc>
          <w:tcPr>
            <w:tcW w:type="dxa" w:w="1606"/>
          </w:tcPr>
          <w:p>
            <w:r>
              <w:t xml:space="preserve">Косвенная</w:t>
            </w:r>
          </w:p>
        </w:tc>
        <w:tc>
          <w:tcPr>
            <w:tcW w:type="dxa" w:w="1606"/>
          </w:tcPr>
          <w:p>
            <w:r>
              <w:t xml:space="preserve">Низкая (уже реализовано)</w:t>
            </w:r>
          </w:p>
        </w:tc>
        <w:tc>
          <w:tcPr>
            <w:tcW w:type="dxa" w:w="1606"/>
          </w:tcPr>
          <w:p>
            <w:r>
              <w:t xml:space="preserve">Критический</w:t>
            </w:r>
          </w:p>
        </w:tc>
        <w:tc>
          <w:tcPr>
            <w:tcW w:type="dxa" w:w="1606"/>
          </w:tcPr>
          <w:p>
            <w:r>
              <w:t xml:space="preserve">Первый</w:t>
            </w:r>
          </w:p>
        </w:tc>
      </w:tr>
      <w:tr>
        <w:tc>
          <w:tcPr>
            <w:tcW w:type="dxa" w:w="1606"/>
          </w:tcPr>
          <w:p>
            <w:r>
              <w:t xml:space="preserve">Экран тарифов/оплаты</w:t>
            </w:r>
          </w:p>
        </w:tc>
        <w:tc>
          <w:tcPr>
            <w:tcW w:type="dxa" w:w="1606"/>
          </w:tcPr>
          <w:p>
            <w:r>
              <w:t xml:space="preserve">Средняя (не создаёт ценность сама по себе)</w:t>
            </w:r>
          </w:p>
        </w:tc>
        <w:tc>
          <w:tcPr>
            <w:tcW w:type="dxa" w:w="1606"/>
          </w:tcPr>
          <w:p>
            <w:r>
              <w:rPr>
                <w:b/>
                <w:bCs/>
              </w:rPr>
              <w:t xml:space="preserve">Прямая, единственная точка монетизации</w:t>
            </w:r>
          </w:p>
        </w:tc>
        <w:tc>
          <w:tcPr>
            <w:tcW w:type="dxa" w:w="1606"/>
          </w:tcPr>
          <w:p>
            <w:r>
              <w:t xml:space="preserve">Низкая</w:t>
            </w:r>
          </w:p>
        </w:tc>
        <w:tc>
          <w:tcPr>
            <w:tcW w:type="dxa" w:w="1606"/>
          </w:tcPr>
          <w:p>
            <w:r>
              <w:t xml:space="preserve">Высокий — без неё нельзя проверить готовность платить</w:t>
            </w:r>
          </w:p>
        </w:tc>
        <w:tc>
          <w:tcPr>
            <w:tcW w:type="dxa" w:w="1606"/>
          </w:tcPr>
          <w:p>
            <w:r>
              <w:t xml:space="preserve">Первый</w:t>
            </w:r>
          </w:p>
        </w:tc>
      </w:tr>
      <w:tr>
        <w:tc>
          <w:tcPr>
            <w:tcW w:type="dxa" w:w="1606"/>
          </w:tcPr>
          <w:p>
            <w:r>
              <w:t xml:space="preserve">Совместное редактирование (WebSocket)</w:t>
            </w:r>
          </w:p>
        </w:tc>
        <w:tc>
          <w:tcPr>
            <w:tcW w:type="dxa" w:w="1606"/>
          </w:tcPr>
          <w:p>
            <w:r>
              <w:t xml:space="preserve">Высокая для командного сценария</w:t>
            </w:r>
          </w:p>
        </w:tc>
        <w:tc>
          <w:tcPr>
            <w:tcW w:type="dxa" w:w="1606"/>
          </w:tcPr>
          <w:p>
            <w:r>
              <w:t xml:space="preserve">Косвенная (доп. места)</w:t>
            </w:r>
          </w:p>
        </w:tc>
        <w:tc>
          <w:tcPr>
            <w:tcW w:type="dxa" w:w="1606"/>
          </w:tcPr>
          <w:p>
            <w:r>
              <w:t xml:space="preserve">Высокая (требует синхронизации состояния)</w:t>
            </w:r>
          </w:p>
        </w:tc>
        <w:tc>
          <w:tcPr>
            <w:tcW w:type="dxa" w:w="1606"/>
          </w:tcPr>
          <w:p>
            <w:r>
              <w:t xml:space="preserve">Средний — можно проверить спрос и без этого в первом релизе</w:t>
            </w:r>
          </w:p>
        </w:tc>
        <w:tc>
          <w:tcPr>
            <w:tcW w:type="dxa" w:w="1606"/>
          </w:tcPr>
          <w:p>
            <w:r>
              <w:t xml:space="preserve">Второй</w:t>
            </w:r>
          </w:p>
        </w:tc>
      </w:tr>
      <w:tr>
        <w:tc>
          <w:tcPr>
            <w:tcW w:type="dxa" w:w="1606"/>
          </w:tcPr>
          <w:p>
            <w:r>
              <w:t xml:space="preserve">Полный охват нотаций (UML/IDEF/BPMN/сети Петри)</w:t>
            </w:r>
          </w:p>
        </w:tc>
        <w:tc>
          <w:tcPr>
            <w:tcW w:type="dxa" w:w="1606"/>
          </w:tcPr>
          <w:p>
            <w:r>
              <w:t xml:space="preserve">Высокая (ключевая дифференциация по ЛР5)</w:t>
            </w:r>
          </w:p>
        </w:tc>
        <w:tc>
          <w:tcPr>
            <w:tcW w:type="dxa" w:w="1606"/>
          </w:tcPr>
          <w:p>
            <w:r>
              <w:t xml:space="preserve">Косвенная</w:t>
            </w:r>
          </w:p>
        </w:tc>
        <w:tc>
          <w:tcPr>
            <w:tcW w:type="dxa" w:w="1606"/>
          </w:tcPr>
          <w:p>
            <w:r>
              <w:t xml:space="preserve">Очень высокая (годы разработки по волнам)</w:t>
            </w:r>
          </w:p>
        </w:tc>
        <w:tc>
          <w:tcPr>
            <w:tcW w:type="dxa" w:w="1606"/>
          </w:tcPr>
          <w:p>
            <w:r>
              <w:t xml:space="preserve">Низкий в моменте — дифференциация нужна для роста, не для проверки самой идеи</w:t>
            </w:r>
          </w:p>
        </w:tc>
        <w:tc>
          <w:tcPr>
            <w:tcW w:type="dxa" w:w="1606"/>
          </w:tcPr>
          <w:p>
            <w:r>
              <w:t xml:space="preserve">2–4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Итог</w:t>
      </w:r>
    </w:p>
    <w:p>
      <w:pPr>
        <w:spacing w:after="120"/>
      </w:pPr>
      <w:r>
        <w:t xml:space="preserve">Ценностное предложение, бизнес-модель, пользовательские сценарии, состав интерфейса и план релизов DiagramCode для целей этой лабораторной работы совпадают с реально принятыми архитектурными решениями продукта — курсовой анализ не придумывает альтернативную бизнес-логику, а формализует её в структуре, требуемой методикой курса «Электронный бизнес», подтверждая её рыночными данными из ЛР1-5.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2026-09-22T12:59:47.466Z</dcterms:created>
  <dcterms:modified xsi:type="dcterms:W3CDTF">2026-09-22T12:59:47.467Z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