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№7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«Итоговый отчёт по бизнес-анализу цифрового товара»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Свести результаты ЛР1–ЛР6 в единый итоговый отчёт по полному циклу бизнес-анализа цифрового товара NotaCode, обосновать целесообразность старта в выбранных рыночных границах и определить бизнес-модель, цифровой товар, первый релиз и дальнейшее развитие. По материалам отчёта подготовить краткое резюме проекта для владельца и инвестора.</w:t>
      </w:r>
    </w:p>
    <w:bookmarkEnd w:id="20"/>
    <w:bookmarkStart w:id="50" w:name="ход-работ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Отчёт составлен по методике-шаблону итогового отчёта [1]. Каждый подраздел 2.1–2.14 соответствует разделу методики и заканчивается элементом итогового текста по шаблону. Все числовые результаты взяты из отчётов по ЛР1–ЛР6 [19–23]; новых расчётов, кроме предусмотренных методикой ЛР7 оценок по шкалам, в отчёте нет. Первичные данные: Google Trends [2], официальная статистика Республики Беларусь [4–6], Similarweb [7], сайты конкурентов [8–13], документы проекта NotaCode [14–16]. Методологическая основа – модель бизнес-модели по Канвас [17] и модель пяти сил Портера [18].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разделов отчёта приведены в таблице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Исходные данные для итогового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3"/>
        <w:gridCol w:w="4867"/>
        <w:gridCol w:w="1514"/>
      </w:tblGrid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Работа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перенесено в итоговый отчёт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Подразделы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ЛР1. Спрос и границы рынка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Ряд Google Trends 40 мес., тренд, сезонность, регионы, семантическое ядро (50 запросов, 10 кластеров), матрица перспективности, паспорт границ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2.3, 2.4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ЛР2–3. Объём рынка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TAM/SAM/SOM пятью методами, цена Pro в BYN, платёжеспособность, концентрация Similarweb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2.4, 2.13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ЛР4. Пять сил Портера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Матрица сил, цифровые усилители, индекс барьеров входа, CR3/HHI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2.5, 2.6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ЛР5. Анализ конкурентов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 20 компаний, Левитт и Кано, рыночный стандарт, бизнес-модели конкурентов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2.5, 2.7, 2.8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ЛР6. ЦП, Канвас, сценарии, экраны, релизы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Реестр проблем P-001…P-008, VP-001, Канвас, 13 сценариев, 24 интерфейсные единицы, 38 единиц разработки, релизы R0–R4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2.7–2.12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Документы проекта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Концепция, SMART-цели и KPI, план Scrumban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2.2, 2.13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Титульный паспорт отчёта заполнен по шаблону методики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Титульный паспорт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91"/>
        <w:gridCol w:w="6664"/>
      </w:tblGrid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 / идея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– веб-IDE (PWA) класса «diagram as code» для формальных нотаций: UML, ERD, IDEF0, IDEF1X, IDEF3, DFD, BPMN 2.0, сети Петри, свободная нотация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Инициатор / команда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Хаджинова К., студентка ИИТ БГУИР; Product Owner и разработчик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подготовки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26.09.2026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анализа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 (ядро), русскоязычный сегмент РФ и СНГ (расширение)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цифрового товара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Веб-сервис (PWA) с личным кабинетом, freemium-подписка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отчёта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Обосновать целесообразность старта в выбранных рыночных границах, определить бизнес-модель, цифровой товар, первый релиз и последующее развитие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Структура отчёта соответствует 14 разделам методики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Структура итогового отчёта по методике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Раздел методики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Подраздел отчёта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Резюме проекта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Идея и исходная гипотеза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Аргументация спроса: Google Trends и Вордстат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Границы и размер рынка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среда и уровни конкуренции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входа и выхода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 пользователей и рыночные пробелы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 и цифровой товар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 по Канвас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Бизнес-логика и пользовательские сценарии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ТЗ: страницы, экраны, функционал, контент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и последующие релизы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 о целесообразности старта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Приложения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2.14, приложения А–Д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Сводные результаты ЛР1–ЛР6 показаны на рисунке 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0670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1_Дашборд_NotaCo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Сводный дашборд бизнес-анализа NotaCode по результатам ЛР1–ЛР6</w:t>
      </w:r>
    </w:p>
    <w:bookmarkStart w:id="22" w:name="резюме-проект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Резюме проекта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Подраздел заполнен последним, после подразделов 2.2–2.13, и поставлен в начало хода работы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Резюме проекта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5"/>
        <w:gridCol w:w="2455"/>
        <w:gridCol w:w="1210"/>
        <w:gridCol w:w="3823"/>
      </w:tblGrid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указать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Итоговая формулировка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Идея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 и основная проблема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2.2, 2.8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 представляет собой веб-IDE «diagram as code» с проверкой правил нотаций для студентов технических специальностей, чтобы получать корректные диаграммы IDEF0, IDEF3, DFD, ERD и UML из текста без ручного построения и замечаний за нарушение правил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Рыночное основание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и достаточность рынка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2.3, 2.4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подтверждается ростом индекса Google Trends PlantUML на 94,2 % (средние первых и последних 12 из 40 месяцев) и 5-м местом Беларуси в мире по интересу к нему. Рынок достаточен для проверки: SAM 23–66 тыс. BYN в год, SOM первого года 1,4–2,9 тыс. BYN при нулевых денежных расходах инфраструктуры MVP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Ключевая выгода и отличие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2.5, 2.7, 2.8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из текста с указанием строки нарушения. Валидация правил, профили IDEF/DFD, кросс-подсветка и построчный diff есть не более чем у 3 из 12 конкурентов (ЛР5)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Кто платит, за что, как часто, канал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Freemium: Free бесплатно, Pro 12 BYN/мес (4 USD, курс-допущение 3,00); годовой чек 72–144 BYN. Каналы – органический поиск, GitHub, рекомендации преподавателей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состав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2.11, 2.12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 (MVP к 06.12.2026) – 17 единиц разработки: ядро ценности (редактор DSL, разбор и диагностика, профили волны 1, холст, Problems, шаблоны, документация), вход, сохранение в БД и на устройство, ручной push в GitHub, экспорт SVG/PNG/XML, история 20 версий, лендинг, тарифы с заявкой «Хочу Pro», аналитика, правовые документы.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color w:val="000000"/>
                <w:sz w:val="24"/>
              </w:rPr>
              <w:t xml:space="preserve">Не включает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оплату Pro, кросс-подсветку, AI-заглушку, Google Drive, quick fix, волны 2–3 нотаций, совместную работу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Стартовать / доработать / не стартовать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2.13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Рекомендуется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color w:val="000000"/>
                <w:sz w:val="24"/>
              </w:rPr>
              <w:t xml:space="preserve">ограниченный старт (пилот)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первого релиза при условиях D7 ≥ 25 % и заявки Pro ≥ 3 % активных Free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На основе проведённого анализа рекомендуется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стартовать ограниченно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проект NotaCode в границах Республики Беларусь, сегмента студентов технических специальностей (S-01, тариф Free) и платящих сегментов аналитиков и архитекторов (S-02, S-03, Pro). Подтверждены: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растущий спрос: +94,2 % по Google Trends, Беларусь – 5-е место в мире по интересу к PlantUML;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критическая опорная проблема P-001: ИПП 4,35, индекс шаблона 90;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платёжеспособность: средний индекс 3,23, валовая маржа 75 %;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конкурентный пробел: валидация правил и профили IDEF/DFD у не более чем 3 из 12 конкурентов.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релиз из 17 единиц может быть реализован к 06.12.2026 без утраты ценностного предложения: проверка сохранения ЦП дала 4,17 из 5.</w:t>
      </w:r>
    </w:p>
    <w:bookmarkEnd w:id="22"/>
    <w:bookmarkStart w:id="23" w:name="идея-и-исходная-гипотез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Идея и исходная гипотеза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Идея описана как проверяемая гипотеза (таблица 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Паспорт идеи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52"/>
        <w:gridCol w:w="2770"/>
        <w:gridCol w:w="4532"/>
      </w:tblGrid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Ответ для NotaCode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Какая трудность есть у клиента?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вручную строит диаграммы строгих нотаций и получает замечания за нарушения правил (ICOM-роли IDEF0, баланс DFD, кардинальности ERD), которые обнаруживаются только на проверке (P-001, ЛР6)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 кого возникает проблема и кто платит?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ИТ-специальностей (пользователь, пограничный бюджет); S-02 аналитики, S-03 архитекторы (наиболее платёжеспособны, ЛР2–3); S-04 преподаватели (инициатор и канал)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Текущее решение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 решают сейчас?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(бесплатный главный заменитель для студентов), PlantUML и Mermaid (нет IDEF/DFD и проверки правил), Ramus, Sparx EA и Visio (десктоп, лицензии), AI-ассистенты общего назначения (ЛР5)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Предлагаемое решение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меняется?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на одном DSL → разбор → валидация по профилю нотации с кодом правила и строкой → раскладка → SVG → версии → экспорт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 что брать деньги?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Pro за период на пользователя: 12 BYN/мес (4 USD), снятие лимитов Free (5 проектов, 20 версий, экспорт только SVG/PNG)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 старта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Почему можно выйти быстро и недорого?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MVP на бесплатных тарифах (затраты 0), разработка около 610 ч одним разработчиком, бесплатный вузовский канал, рынок старта ограничен Беларусью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Пять гипотез методики и статус их проверки по результатам ЛР1–ЛР6 приведены в таблице 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Проверяемые гипотезы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6"/>
        <w:gridCol w:w="2357"/>
        <w:gridCol w:w="2254"/>
        <w:gridCol w:w="3156"/>
      </w:tblGrid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Гипотеза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Чем проверяется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подтверждения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 по ЛР1–ЛР6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Отзывы, запросы, сообщества, опрос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повторяется в разных источниках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Частично: P-001 – критический приоритет (ИПП 4,35), сайты 4 прямых конкурентов подтверждают отсутствие проверки правил; 30 отзывов и опрос – 🔲 ДОСНЯТЬ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Спроса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Вордстат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Устойчивые запросы и ядро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 по Google Trends (+94,2 %, 50 запросов в 10 кластерах); Вордстат – 🔲 ДОСНЯТЬ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Ценности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Недостатки конкурентов, сравнение функций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Выгода связана с проблемой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 частично: ИКЦП 3,83, ИКСТ 3,80 – «нужно уточнение» (ЛР6)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Монетизации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конкурентов, платные функции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платный аналог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 рынком: Eraser 15–60 USD за участника (ЛР5); связь «товар ↔ монетизация» не подтверждена (ЛР6)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Удержания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Регулярность задачи, накопление данных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Задача повторяется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Гипотеза: семестровая регулярность, проекты и версии; проверяется метрикой D7 в R1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Идея проекта состоит в создании веб-IDE NotaCode для студентов технических специальностей, которая решает проблему ручного построения диаграмм строгих нотаций и поздно выявленных нарушений правил за счёт текстового DSL с валидацией правил и автоматической раскладкой. Исходная гипотеза предполагает, что клиент готов использовать тариф Free и оплачивать доступ Pro (12 BYN в месяц), поскольку существующие решения либо не поддерживают IDEF/DFD и проверку правил (PlantUML, Mermaid, D2), либо не проверяют правила (draw.io), либо платные и десктопные (Ramus, Sparx EA). Гипотезы спроса и конкурентного пробела подтверждены, гипотезы проблемы, монетизации и удержания требуют проверки в первом релизе.</w:t>
      </w:r>
    </w:p>
    <w:bookmarkEnd w:id="23"/>
    <w:bookmarkStart w:id="29" w:name="X2d8330dba6ca9104e828058da16ce2833187e1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 Аргументация спроса: Google Trends и Вордстат</w:t>
      </w:r>
    </w:p>
    <w:bookmarkStart w:id="24" w:name="источники-и-ограничен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2.3.1 Источники и ограничения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и ограничения их интерпретации приведены в таблице 7.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Источники данных о спросе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56"/>
        <w:gridCol w:w="4000"/>
        <w:gridCol w:w="3698"/>
      </w:tblGrid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проанализировано в ЛР1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Ограничение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 месячных точек PlantUML и text to diagram (09.2021–12.2024, снято 17.09.2026), регионы, связанные запросы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 0–100; замер по миру, данные по регионам Беларуси – 🔲 ДОСНЯТЬ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Частотность ядра по Беларуси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Яндекс ID – 🔲 ДОСНЯТЬ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Поисковая выдача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Типы страниц по кластерам IDEF0/DFD, BPMN, ERD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Персонализирована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конкурентов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Формулировки заголовков и тарифов (ЛР5)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Отражают позиционирование конкурента</w:t>
            </w:r>
          </w:p>
        </w:tc>
      </w:tr>
    </w:tbl>
    <w:bookmarkEnd w:id="24"/>
    <w:bookmarkStart w:id="26" w:name="динамика-сезонность-географ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2.3.2 Динамика, сезонность, география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Относительное изменение интереса рассчитано в ЛР1 по формуле шаблона [19]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Δ = (Ȳпосл − Ȳперв) / Ȳперв · 100 % = (44,33 − 22,83) / 22,83 · 100 % = 94,2 %,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Ȳперв, Ȳпосл – средний индекс Google Trends PlantUML за первые и последние 12 месяцев ряда.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ЛР1 сведены в таблицу 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Ключевые показатели Google Trends (ЛР1)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1"/>
        <w:gridCol w:w="5934"/>
      </w:tblGrid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PlantUML за 40 мес.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32,10 (уровень «средний» по шкале GT-РБ)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Средние первых / последних 12 мес.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22,83 / 44,33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Относительное изменение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 (растущий тренд, порог ≥ +15 %)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Наклон линейного тренда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+0,758 п./мес (≈ +9,1 п./год)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2024 к 2023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+41,9 %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месяцев роста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59,0 % (23 из 39)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Сезонность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Летний минимум (июль–сентябрь) и спад в конце декабря – учебный цикл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8,20 в 2021–2024, сдвиг вверх с середины 2025; связанный запрос «text to diagram ai» – Breakout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Регионы PlantUML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 – 4-е, Беларусь – 5-е место из 71 страны; Россия – первая страна по трафику plantuml.com (9,07 %)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Динамика ряда показана на рисунке 2.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2_Тренд_спроса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Динамика индекса Google Trends: PlantUML и text to diagram, 09.2021–12.2024</w:t>
      </w:r>
    </w:p>
    <w:bookmarkEnd w:id="26"/>
    <w:bookmarkStart w:id="27" w:name="группы-запрос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2.3.3 Группы запросов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Семантическое ядро ЛР1 (50 запросов в 10 кластерах) распределено по пяти группам методики ЛР7 (таблица 9).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Группы запросов и выводы для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2"/>
        <w:gridCol w:w="2841"/>
        <w:gridCol w:w="1685"/>
        <w:gridCol w:w="3015"/>
      </w:tblGrid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Примеры запросов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 для первого релиза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Проблемные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«как построить IDEF0», «как нарисовать DFD», «ошибки в IDEF0»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Разобраться в правилах нотации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документации, шаблоны, диагностика с кодом правила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Категорийные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онлайн», «UML онлайн», «BPMN онлайн», «ER диаграмма онлайн», «diagram as code»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инструмент класса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категории на главной странице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«аналог Ramus», «generator», «tool» (единичные сигналы)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инструмент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Публичная страница тарифов; транзакционные запросы – 🔲 Вордстат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Сравнительные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«PlantUML alternative», «аналог Ramus», «draw.io vs Lucidchart»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замену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Блок отличий от PlantUML и draw.io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Брендовые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draw.io, Lucidchart, D2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Использовать известный бренд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без недобросовестных утверждений, импорт/экспорт форматов аналогов в следующих релизах</w:t>
            </w:r>
          </w:p>
        </w:tc>
      </w:tr>
    </w:tbl>
    <w:bookmarkEnd w:id="27"/>
    <w:bookmarkStart w:id="28" w:name="оценка-спроса-по-шкалам-03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2.3.4 Оценка спроса по шкалам 0–3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по шкалам методики ЛР7 выполнена по данным ЛР1 (таблица 10).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Шкалы оценки спроса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0"/>
        <w:gridCol w:w="722"/>
        <w:gridCol w:w="5421"/>
      </w:tblGrid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 по ЛР1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Устойчивость интереса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+94,2 %, наклон +0,758 п./мес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Сезонность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Умеренная: учебный цикл, тренд сохраняется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Коммерческая направленность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Смешанная: единичные коммерческие сигналы (ЛР1, коммерческое намерение – 1)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Ширина поискового ядра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кластеров (более 6 групп)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Региональная пригодность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№5 и Россия №4 по PlantUML, но нет данных по регионам РБ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 из 15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Согласуется с матрицей перспективности ЛР1: 13 из 18, решение «сузить»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Ответы на контрольные вопросы раздела методики приведены в таблице 11.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Контрольные вопросы раздела «Спрос»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445"/>
        <w:gridCol w:w="4909"/>
      </w:tblGrid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Ответ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Запросы разделены на 5 групп?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(таблица 9)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Показана динамика, а не разовое значение?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40 месяцев (рисунок 2)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вывод о достаточности интереса для первого релиза?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(таблица 10)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Выявлены слова клиента для интерфейса?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Да: «онлайн», «IDEF0/DFD/UML», «аналог», «diagram as code»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Отмечены ограничения Google Trends и Вордстат?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Да; Вордстат – 🔲 ДОСНЯТЬ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Поисковый спрос по теме «diagram as code и строгие нотации моделирования» подтверждает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растущий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интерес в границах Беларуси и русскоязычного СНГ: индекс PlantUML вырос на 94,2 % по средним первых и последних 12 месяцев, Беларусь и Россия входят в пятёрку стран по интересу к нему. Наиболее значимы категорийные и проблемные группы запросов (кластеры IDEF0/DFD, BPMN, ERD, аналоги PlantUML/Mermaid), что указывает на намерение найти онлайн-инструмент и разобраться в правилах нотации. Для первого релиза нужно использовать формулировки «IDEF0/DFD/UML онлайн», «проверка правил нотации», «аналог PlantUML/Ramus» и включить главную страницу с категорией товара, документацию нотаций, блок отличий и страницу тарифов.</w:t>
      </w:r>
    </w:p>
    <w:bookmarkEnd w:id="28"/>
    <w:bookmarkEnd w:id="29"/>
    <w:bookmarkStart w:id="33" w:name="границы-и-размер-ры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 Границы и размер рынка</w:t>
      </w:r>
    </w:p>
    <w:bookmarkStart w:id="30" w:name="границы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2.4.1 Границы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Границы рынка перенесены из паспорта границ ЛР1 и ЛР2–3 (таблица 12).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Границы рынка старта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9"/>
        <w:gridCol w:w="4077"/>
        <w:gridCol w:w="3108"/>
      </w:tblGrid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Граница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 неправильного определения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Потребительская задача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корректную диаграмму строгой нотации для учебной или проектной работы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Широкая задача сравняет продукт с draw.io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Целевой сегмент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(Free, основная аудитория); S-02, S-03 (наиболее платёжеспособны); S-04 преподаватели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Опора только на студентов даёт пограничный бюджет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– Республика Беларусь; расширение – русскоязычные РФ и СНГ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Перенос глобальных данных завышает рынок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доступа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Браузер (PWA), органический поиск, GitHub, рекомендации преподавателей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реклама на старте дорогая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решения (заменители)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Visio, Ramus, AI-ассистенты, ручное рисование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Игнорирование заменителей завышает рынок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Платёжная логика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Подписочный SaaS, единица клиента – пользователь, Pro 12 BYN/мес; GMV-модель неприменима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единицы оплаты размер рынка не считается</w:t>
            </w:r>
          </w:p>
        </w:tc>
      </w:tr>
    </w:tbl>
    <w:bookmarkEnd w:id="30"/>
    <w:bookmarkStart w:id="32" w:name="уровни-оценки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2.4.2 Уровни оценки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ЛР2–3 [20] рынок оценён методами «сверху вниз» от ВВП Беларуси (78,59 млрд USD, доля ИТ 6,1 %) и «снизу вверх» по формулам методики потенциальных клиентов: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TAM = Σ (клиенты_i × чек_i × частота_i), (2)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SAM = Σ (клиенты_i × Kграниц_i × Kпотр_i × Kонлайн_i × Kплат_i × чек_i × частота_i), (3)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SOM = SAM × достижимая доля,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клиенты_i – число потенциальных пользователей сегмента i (всего 33 315: 28 000 студентов, 2 000 аналитиков, 3 000 архитекторов, 315 преподавателей); K – коэффициенты сужения (допущения ЛР2–3); чек_i – 72 BYN для S-01 и 120 BYN для S-02…S-04.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Итоговые уровни рынка по ЛР2–3 приведены в таблице 13.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Уровни оценки рынка (ЛР2–3)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31"/>
        <w:gridCol w:w="3427"/>
        <w:gridCol w:w="3696"/>
      </w:tblGrid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Значение, BYN в год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 в ЛР2–3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доступный рынок (TAM)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2,65–14,38 млн (сценарно 1,70–21,57 млн)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Снизу вверх: все пользователи × Pro; сверху вниз: инструменты моделирования в ИТ-секторе РБ. Верхняя граница, не доказательство старта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Обслуживаемый рынок (SAM)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23–66 тыс. (сценарно 4,6–375 тыс.); верхний ориентир «сверху вниз» 0,86 млн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 (50 531), платёжеспособность, три модели Similarweb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Достижимая доля (SOM, 1-й год)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1,4–2,9 тыс. (сценарно 0,05–26 тыс.)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Пять независимых методов; 12–25 платящих пользователей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жизнеспособный объём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Денежные постоянные расходы MVP – 0 (инфраструктура на бесплатных тарифах, ЛР6); основной ресурс – около 610 ч разработки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 формуле методики «постоянные расходы / валовая маржа» (маржа 75 %, ЛР2–3) денежный порог равен нулю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Сверка методов по SOM приведена в таблице 14.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14 – Сверка методов: SOM, BYN в год (ЛР2–3)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воронка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2 943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13 244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7 410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Платёжеспособность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7 322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Similarweb → воронка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1 375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16 398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ЛР3: методика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26 255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Сверху вниз от ВВП (ориентир)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25 888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158 561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 рынка показаны на рисунке 3.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3_TAM_SAM_SO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TAM, SAM и SOM NotaCode по итогам ЛР2–3 (диапазоны, логарифмическая шкала)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Достаточность рынка оценена по расчётной таблице методики (таблица 15).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15 – Расчётная таблица достаточности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2880"/>
        <w:gridCol w:w="1524"/>
        <w:gridCol w:w="2965"/>
      </w:tblGrid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потенциальных клиентов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33 315 пользователей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28 000, S-02 2 000, S-03 3 000, S-04 315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достижимых клиентов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23 252 в границах; 590 адресуемых Pro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ЛР2–3, таблица 7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Коэффициенты – допущения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Ожидаемая конверсия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→ Pro 3 % (базовый), не ниже 5 % для оптимистичного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ЛР2–3; KPI-05 концепции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Проверяется в R1 заявками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 выручка на клиента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72–144 BYN в год (Pro 12 BYN/мес)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Курс-допущение 3,00 BYN/USD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Минимальная выручка для проверки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Денежные расходы MVP – 0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ЛР6, Канвас; концепция C-03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Труд разработчика не монетизирован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Достаточность рынка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для проверки модели; целевой KPI 45 платящих (6 480 BYN) выше базового SOM в 2–4 раза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 только в оптимистичном сценарии (РФ/СНГ, конверсия ≥ 5 %)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Типы доказательства достаточности приведены в таблице 16.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16 – Типы доказательства достаточности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42"/>
        <w:gridCol w:w="6612"/>
      </w:tblGrid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 для NotaCode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Количественное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Пять независимых методов дают сопоставимый SOM 1,4–2,9 тыс. BYN при нулевых денежных расходах проверки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канал к S-01: учебные дисциплины с IDEF0/DFD/BPMN, преподаватели S-04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Близкую задачу монетизирует Eraser (15–60 USD за участника); индекс платёжеспособности 3,23, коэффициент оправданности покупки 2,25–8,33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Поведенческое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Пользователи уже тратят время на draw.io, установку Ramus/Visio, генерацию кода через AI-ассистенты (ЛР5)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Рынок старта ограничен Республикой Беларусь и включает студентов технических специальностей, аналитиков, архитекторов и преподавателей – всего 33 315 потенциальных пользователей. Такой выбор снижает стоимость выхода: к первичному сегменту ведёт бесплатный вузовский канал, продукт работает в браузере, инфраструктура MVP бесплатна. Расчёт ЛР2–3 показывает, что при базовой конверсии 3 % обслуживаемого рынка (SAM 23–66 тыс. BYN в год) проект может получить 12–25 платящих пользователей и 1,4–2,9 тыс. BYN в год. Этого достаточно для проверки бизнес-модели в первом релизе. Целевой KPI (45 платящих, 6 480 BYN) достижим только в оптимистичном сценарии – с выходом на РФ и СНГ и конверсией не ниже 5 %.</w:t>
      </w:r>
    </w:p>
    <w:bookmarkEnd w:id="32"/>
    <w:bookmarkEnd w:id="33"/>
    <w:bookmarkStart w:id="37" w:name="конкурентная-среда-и-уровни-конкуренции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 Конкурентная среда и уровни конкуренции</w:t>
      </w:r>
    </w:p>
    <w:bookmarkStart w:id="35" w:name="классификация-по-уровням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2.5.1 Классификация по уровням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ЛР5 [22] 20 компаний оценены по десяти критериям C1–C10 с весами шаблона: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N = (20·C1 + 15·C2 + 18·C3 + 10·C4 + 8·C5 + 8·C6 + 7·C7 + 7·C8 + 4·C9 + 3·C10) / 100,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C1…C10 – баллы 0–5 по критериям «задача», «аудитория», «заменяемость», «сценарий», «цена», «каналы», «география», «монетизация», «зрелость», «переключение». Пороги: 4,2 – прямой; 3,4 – близкий альтернативный; 2,5 – косвенный/заменитель; 1,6 – смежная или потенциальная конкуренция.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Классификация ЛР5, приведённая к уровням методики ЛР7, дана в таблице 17.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17 – Уровни конкуренции (ЛР5)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13"/>
        <w:gridCol w:w="3336"/>
        <w:gridCol w:w="3205"/>
      </w:tblGrid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 методики ЛР7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Компании (балл N по ЛР5)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использовать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 конкуренты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(3,75, повышен экспертной корректировкой: те же запросы и каналы, единственный в ядре карты X = 4, Y = 4)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и минимальные требования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Близкие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 (3,49)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Альтернативные функции: AI, freemium с лимитами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Косвенные и заменители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(3,27), Mermaid (3,25), Gleek (3,23), Ramus (3,22), D2 (3,09), Visual Paradigm Online (2,94), Mermaid Chart (2,93), Lucidchart (2,90), dbdiagram.io (2,82)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Заменяемость; главный заменитель для студентов – бесплатный draw.io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Смежные и потенциальные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 (2,47), Structurizr (2,46), Visio (2,35), Sparx EA (2,34), Camunda Modeler (2,32), Graphviz (2,05), Miro (1,68)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Риск: генерация диаграмм AI-ассистентами без проверки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Ориентиры и объекты наблюдения (не входят в долю рынка)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 (1,79, технологический партнёр), Figma/FigJam (1,52)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Источник проектных решений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взвешенный балл по 20 компаниям – 2,69, ни одна компания не достигла порога 4,2. Баллы компаний показаны на рисунке 4.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4_Карта_конкурентов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Взвешенные баллы близости конкурентов к NotaCode по ЛР5</w:t>
      </w:r>
    </w:p>
    <w:bookmarkEnd w:id="35"/>
    <w:bookmarkStart w:id="36" w:name="матрица-конкурент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2.5.2 Матрица конкурентов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Матрица ключевых конкурентов составлена по результатам ЛР5 (таблица 18).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18 – Матрица конкурентов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93"/>
        <w:gridCol w:w="1493"/>
        <w:gridCol w:w="1659"/>
        <w:gridCol w:w="1659"/>
        <w:gridCol w:w="1388"/>
        <w:gridCol w:w="1659"/>
      </w:tblGrid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Сильные стороны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Слабые стороны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Стандарт рынка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Возможность отличия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Бесплатный, та же русскоязычная аудитория, IDE и GitHub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IDEF/DFD и проверки правил; проигрывает по тарифам и измеримой выгоде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браузере, бесплатный доступ, документация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IDEF/DFD, валидация, кросс-подсветка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AI-технология, единственная подтверждённая платная подписка 15–60 USD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Англоязычный, дорогой для РБ, нет методологических нотаций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с лимитами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Pro 4 USD, русский язык, строгие нотации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Двадцатилетняя база пользователей, бесплатно, интеграции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проверки правил, нет текстового описания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уровень, экспорт SVG/PNG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как источник, валидация, diff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Встроенность в GitHub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Мало нотаций, нет валидации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Строгие нотации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Методологические нотации IDEF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Десктоп, неполные данные о тарифах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Строгость методологии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 же строгость в браузере и в Git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Генерация по тексту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рендера и проверки правил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Самопроверка AI-вывода валидатором (следующие релизы)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Рыночный стандарт ЛР5: рендер в браузере без установки, бесплатный уровень доступа, экспорт SVG/PNG, документация и шаблоны. Внутри подгруппы DSL-инструментов нормой также являются текстовый DSL, автораскладка и интеграция с Git.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Конкурентная среда включает 1 прямого конкурента (PlantUML), 1 близкого альтернативного (Eraser), 9 косвенных конкурентов и заменителей во главе с draw.io, 7 смежных и потенциальных, среди которых наиболее опасны AI-ассистенты общего назначения. Рыночный стандарт формируют рендер в браузере без установки, бесплатный уровень доступа, экспорт SVG/PNG, документация и шаблоны, поэтому их нужно учесть в первом релизе. Потенциальная зона отличия – валидация правил нотации, профили IDEF/DFD, сети Петри, кросс-подсветка, построчный diff и экспорт в форматы других инструментов. У конкурентов эти признаки встречаются не более чем у 3 из 12, а рынок почти не показывает измеримую выгоду.</w:t>
      </w:r>
    </w:p>
    <w:bookmarkEnd w:id="36"/>
    <w:bookmarkEnd w:id="37"/>
    <w:bookmarkStart w:id="39" w:name="барьеры-входа-и-выход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 Барьеры входа и выхода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результатам ЛР4 [21] матрица пяти сил по шкале 1/3/5: конкуренция игроков 5, угроза новых участников 3, сила покупателей 5, сила поставщиков 3, угроза заменителей 5, цифровые усилители 3 (среднее шести факторов 2,33). Среднее давление – (5 + 3 + 5 + 3 + 5 + 3) / 6 = 4,00, высокое. Индекс барьеров входа по исправленному шаблону равен 3,92: средние барьеры у верхней границы, порог высоких – 4. Уровень конкуренции по методике Similarweb – 3,88 (высокий). Концентрация цифрового спроса: CR3 = 99,8 %; HHI = 7 590 по ЛР4 и 5 588 по методике ЛР3 в ЛР2–3 при пороге высокой концентрации 2 500 (🔲 СВЕРИТЬ: в ЛР2–3 и ЛР4 разные значения HHI). Радар сил показан на рисунке 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953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5_Радар_Портера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Пять сил Портера для рынка NotaCode (ЛР4)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входа по типам методики ЛР7 приведены в таблице 19.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19 – Барьеры входа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80"/>
        <w:gridCol w:w="3542"/>
        <w:gridCol w:w="3732"/>
      </w:tblGrid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 для NotaCode (ЛР4–ЛР6)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Влияние на первый релиз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Технологический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Собственный DSL, профили нотаций, раскладка; срок нотаций волны 1 – критический риск R-001 (индекс 15)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1 по одной нотации за спринт S4–S7; кросс-подсветка и AI – в R2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и документация по каждой нотации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контента: шаблоны и вкладка документации, а не полный каталог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Доверительный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Репутационный барьер 5 (PlantUML), брендовая сила лидеров 5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Гостевой режим, примеры, правовые документы, прозрачные лимиты Free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Органическое и платное давление 3, концентрация трафика 5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 под категорийные запросы, вузовский канал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Правовой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Персональные данные, лицензии зависимостей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 (RU-020) в R1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Операционный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Один разработчик, нагрузка лабораторными (R-008, индекс 16)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Pro обрабатываются вручную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Финансовый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платёжного провайдера РБ в MVP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«Хочу Pro» вместо оплаты; оплата – R2 (RU-025)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выхода приведены в таблице 20.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20 – Барьеры выхода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73"/>
        <w:gridCol w:w="2004"/>
        <w:gridCol w:w="2157"/>
        <w:gridCol w:w="3319"/>
      </w:tblGrid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Барьер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Признак высокого риска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 NotaCode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снизить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Финансовые обязательства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Долгосрочные контракты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Низкий: бесплатная инфраструктура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брать платные тарифы до метрик R1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Репутационные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Широкие обещания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 «бета», явные лимиты Free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Техническая зависимость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под одну задачу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Низкий–средний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Модули языка и нотаций переиспользуются в курсовой и лабораторных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пользователей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экспорта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устройство, экспорт SVG/PNG/XML, push в GitHub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Командная нагрузка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Круглосуточная поддержка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SLA в R1, форма обратной связи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Сводная оценка барьеров по шкале методики (1 – благоприятно, 5 – неблагоприятно) выполнена по данным ЛР4 и ЛР6 (таблица 21).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21 – Сводная оценка барьеров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85"/>
        <w:gridCol w:w="967"/>
        <w:gridCol w:w="3604"/>
        <w:gridCol w:w="2998"/>
      </w:tblGrid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Аргументация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Сложность входа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Давление 4,00, барьеры 3,92 у верхней границы, HHI выше порога 2 500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Снижать: ниша строгих нотаций, вузовский канал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Стоимость входа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0, около 610 ч разработки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Принимать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Скорость запуска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MVP к 06.12.2026, спринты S1–S10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Принимать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Обратимость выхода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контрактов и денежных обязательств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Принимать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Суммарный риск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 в доверии и конверсии, а не в деньгах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Снижать: пилот, заявка вместо оплаты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Барьеры входа оцениваются как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средние у верхней границы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(индекс 3,92) при высоком конкурентном давлении (4,00): лидеры бесплатны, цифровой спрос сильно сконцентрирован (CR3 = 99,8 %), репутационный барьер максимален. Для быстрого и дешёвого старта первый релиз ограничен 17 единицами ядра, доверия и заявки на Pro. Оплата Pro, кросс-подсветка, AI, Google Drive и волны 2–3 нотаций перенесены в последующие релизы. Барьеры выхода низкие, поэтому решение о старте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обратимое</w:t>
      </w:r>
      <w:r>
        <w:rPr>
          <w:rFonts w:ascii="Times New Roman" w:hAnsi="Times New Roman"/>
          <w:color w:val="000000"/>
          <w:sz w:val="28"/>
        </w:rPr>
        <w:t xml:space="preserve">.</w:t>
      </w:r>
    </w:p>
    <w:bookmarkEnd w:id="39"/>
    <w:bookmarkStart w:id="40" w:name="Xa88b4cd92fed3dc81e67f6d97f9a1c979895bb8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2.7 Проблемы пользователей и рыночные пробелы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сигналов о проблемах приведены в таблице 22.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22 – Источники сигналов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11"/>
        <w:gridCol w:w="4736"/>
        <w:gridCol w:w="2506"/>
      </w:tblGrid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найдено в ЛР1–ЛР6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 на площадках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30 отзывов (ЛР6)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конкурентов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 страницы 12 конкурентов: нет проверки правил и IDEF/DFD, почти нет измеримой выгоды (ЛР5)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Собрано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Поисковые запросы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Проблемные и категорийные кластеры IDEF0/DFD, BPMN, ERD (ЛР1)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Собрано; Вордстат – 🔲 ДОСНЯТЬ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Форумы и сообщества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Вопросы о правилах нотаций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не менее 30 респондентов S-01…S-04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провести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Реестр проблем ЛР6 с индексом приоритета ИПП и типом проблемы по методике ЛР7 приведён в таблице 23.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23 – Реестр проблем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1"/>
        <w:gridCol w:w="2339"/>
        <w:gridCol w:w="1004"/>
        <w:gridCol w:w="639"/>
        <w:gridCol w:w="1004"/>
        <w:gridCol w:w="1614"/>
        <w:gridCol w:w="1991"/>
      </w:tblGrid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ИПП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шаблона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(методика ЛР7)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Ручное построение и отсутствие проверки правил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Критический, опорная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Функциональная + доверительная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Модели вне Git, рассинхрон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71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Организационная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P-008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Ручная проверка работ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69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Организационная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Разные инструменты и форматы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63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diff, истории, отката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S-02, S-03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61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Организационная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входа в синтаксис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P-004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CASE-средства платные и устаревшие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связи строка ↔ элемент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57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Информационная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Ключевой проблемой для сегмента студентов технических специальностей является ручное построение диаграмм строгих нотаций при отсутствии проверки их правил (P-001). Она получила максимальный приоритет по обеим формулам ЛР6 (ИПП 4,35, индекс шаблона 90), повторяется в функциональных матрицах 12 конкурентов (ЛР5) и в проблемных поисковых кластерах (ЛР1). Проявляется через замечания на проверке, перерисовку и использование платных настольных CASE-средств. Проблема имеет функциональный и доверительный характер и ложится в основу ценностного предложения. Слабое место – низкая платёжеспособность опорного сегмента и отсутствие отзывов и опроса.</w:t>
      </w:r>
    </w:p>
    <w:bookmarkEnd w:id="40"/>
    <w:bookmarkStart w:id="41" w:name="ценностное-предложение-и-цифровой-товар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2.8 Ценностное предложение и цифровой товар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ценности составлен по VP-001 из ЛР6 (таблица 24).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24 – Паспорт ценности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79"/>
        <w:gridCol w:w="6576"/>
      </w:tblGrid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 ЦП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Целевой клиент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технической специальности (S-01), выполняющий лабораторные и курсовые работы с IDEF0, IDEF3, DFD, ERD, UML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– ручное построение и нарушения правил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диаграмма, которую можно сдать без замечаний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Механизм ценности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правил IDEF0/DFD/ERD/UML с указанием строки нарушения, автоматическая раскладка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 PlantUML и draw.io: проверка правил и показ строки нарушения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4 прямых конкурентов; ИКЦП 3,83 и ИКСТ 3,80 – «нужно уточнение»; покрытие рыночного стандарта в R1 – 87,5 % (7 из 8 признаков) при пороге 80 %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 цифрового товара по методике ЛР7 заполнены по ЛР5 и ЛР6 (таблица 25).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25 – Уровни цифрового товара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25"/>
        <w:gridCol w:w="4703"/>
        <w:gridCol w:w="2526"/>
      </w:tblGrid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NotaCode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 с монетизацией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пользы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из текста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 это клиент в итоге платит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Free: редактор DSL, Run, холст, валидация волны 1, шаблоны, документация, экспорт SVG/PNG, 5 проектов, 20 версий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Минимально продаваемая единица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браузере, бесплатный доступ, экспорт SVG/PNG, документация и шаблоны, интеграция с Git (стандарт ЛР5)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этого падает доверие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Pro: без лимитов, полная история и diff, все форматы экспорта, автосинхронизация, серверный AI с квотой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Обосновывает цену Pro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для кафедры: наборы заданий, групповые лицензии, отчёт о нарушениях по группе, нотации волн 2–3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после старта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Единица монетизации выбрана по вариантам методики (таблица 26).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26 – Единица монетизации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8"/>
        <w:gridCol w:w="6366"/>
      </w:tblGrid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Вариант методики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для NotaCode (ЛР6)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Основная: доступ Pro за период на пользователя, 12 BYN/мес (4 USD)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Пакет/тариф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и Pro; предельный уровень – кафедральный тариф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за заявку / лид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R1 целевое действие «Хочу Pro» вместо оплаты (нет провайдера РБ)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Разовая покупка, комиссия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применяются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Ценностное предложение проекта: для студентов технических специальностей, которые тратят часы на диаграммы строгих нотаций и получают замечания за нарушения правил, продукт NotaCode (веб-IDE diagram as code) обеспечивает корректную по правилам нотации диаграмму за счёт проверки правил IDEF0/DFD/ERD/UML с указанием строки нарушения. PlantUML и draw.io правила не проверяют. Цифровой товар в первом релизе – NotaCode Free, единица монетизации – доступ Pro за период на пользователя (12 BYN в месяц). В первом релизе монетизация проверяется целевым действием «Хочу Pro».</w:t>
      </w:r>
    </w:p>
    <w:bookmarkEnd w:id="41"/>
    <w:bookmarkStart w:id="42" w:name="бизнес-модель-по-канвас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 Бизнес-модель по Канвас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Канвас перенесён из ЛР6 (таблица 27).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27 – Канвас бизнес-модели NotaCode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73"/>
        <w:gridCol w:w="4627"/>
        <w:gridCol w:w="2254"/>
      </w:tblGrid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Доказательность, %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Потребительские сегменты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Студенты технических специальностей вузов РБ (+РФ/СНГ); платящие – аналитики, архитекторы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75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вместо часов ручной работы и замечаний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Органический поиск (IDEF0, DFD, diagram as code), GitHub, рекомендации преподавателей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Самообслуживание: шаблоны, документация; обратная связь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(4 USD/мес, 40 USD/год); кафедральный тариф – гипотеза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41,7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Грамматика DSL и каталог профилей нотаций с правилами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профилей нотаций волнами, шаблоны и документация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партнёры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LLM-провайдеры, GitHub и Google Drive API, хостинг Netlify/Render/Neon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разработки около 610 ч; инфраструктура MVP – 0; переменные – LLM API после MVP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77,8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полноты Канваса – 8 / 9 · 100 % = 88,9 % (порог стратегического решения 85 %), индекс связности – 8 / 10 · 100 % = 80 %. Проверка связности по методике ЛР7 приведена в таблице 28.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28 – Проверка связности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94"/>
        <w:gridCol w:w="6761"/>
      </w:tblGrid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 (ЛР6)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↔ ценность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ЦП построено на P-001 сегмента S-01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↔ товар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базовый товар Free реализует ядро пользы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↔ доход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подтверждена: платит не опорный сегмент; проверка – заявки «Хочу Pro» в R1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↔ рынок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органический поиск и вузы соответствуют поведению S-01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Ресурсы ↔ релиз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R1 выполним одним разработчиком к S10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↔ доход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подтверждена: доход – гипотеза; денежные затраты MVP нулевые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Бизнес-модель проекта основана на обслуживании сегмента студентов технических специальностей через ценностное предложение «корректная по правилам нотации диаграмма из текста». Клиент привлекается через органический поиск, GitHub и рекомендации преподавателей, получает NotaCode Free и оплачивает доступ Pro (12 BYN в месяц). Для первого релиза ключевые ресурсы – грамматика DSL и профили нотаций, основные затраты – около 610 ч разработки при нулевых расходах на инфраструктуру. Модель формально пригодна для стратегического решения (полнота 88,9 %, связность 80 %). Она считается связной при условии подтверждения связей «товар ↔ доход» и «затраты ↔ доход» заявками на Pro в первом релизе.</w:t>
      </w:r>
    </w:p>
    <w:bookmarkEnd w:id="42"/>
    <w:bookmarkStart w:id="43" w:name="X519d46f9ff7923648cbfef21e2605794438181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2.10 Бизнес-логика и пользовательские сценарии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Роли перенесены из ЛР6 (таблица 29).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29 – Матрица ролей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10"/>
        <w:gridCol w:w="2535"/>
        <w:gridCol w:w="2407"/>
        <w:gridCol w:w="2102"/>
      </w:tblGrid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Основные сценарии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 с монетизацией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Посетитель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Понять, подходит ли инструмент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S-001, S-002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Верх воронки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Новый пользователь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 (S-01)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Сдать работу с корректной диаграммой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S-004, S-005, S-006, S-008, S-009, S-010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Free; упор в лимит – триггер Pro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плательщик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Снять лимиты Free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«Хочу Pro»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Подготовить пример для группы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привлечения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Администратор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Обновить шаблоны и каталог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S-011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Операционная поддержка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Тринадцать сценариев ЛР6 покрывают все девять классов методики (таблица 30).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30 – Матрица сценариев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01"/>
        <w:gridCol w:w="3227"/>
        <w:gridCol w:w="2076"/>
        <w:gridCol w:w="1313"/>
        <w:gridCol w:w="1936"/>
      </w:tblGrid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инструмент для IDEF0/DFD по поисковому запросу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Обнаружение проблемы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(лендинг)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S-002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Сравнить с draw.io/PlantUML и проверить на примере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и доверие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(минимум доверия)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 из шаблона без регистрации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активация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диаграмму IDEF0 по заданию с проверкой правил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Сохранить проект и экспортировать SVG/PNG в отчёт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Вернуться к проекту, сравнить версии и откатиться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(20 версий)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на Pro после упора в лимит Free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(заявка «Хочу Pro»)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Восстановиться после ошибки DSL или правила нотации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S-009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Спросить по синтаксису и теории нотации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– да, AI – R2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Сгенерировать DSL по текстовому описанию (AI)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S-011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Опубликовать шаблон и обновить каталог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Административный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Подготовить пример для группы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Партнёрский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S-013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уведомление о синхронизации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Ключевые пользовательские сценарии первого релиза – первая диаграмма из шаблона без регистрации (S-003), построение диаграммы IDEF0 с проверкой правил (S-004), сохранение и экспорт (S-005), восстановление после ошибки (S-008) и заявка на Pro при упоре в лимит (S-007). Они обеспечивают получение ценности и проверяют активацию, удержание D7 и готовность платить. Сценарии AI-генерации (S-010), примеров для группы (S-012), уведомлений (S-013) и администрирования шаблонов (S-011) переносятся в последующие релизы: они усиливают удержание и рост, но не критичны для проверки старта.</w:t>
      </w:r>
    </w:p>
    <w:bookmarkEnd w:id="43"/>
    <w:bookmarkStart w:id="44" w:name="тз-страницы-экраны-функционал-и-контент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2.11 ТЗ: страницы, экраны, функционал и контент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Из 13 сценариев в ЛР6 выведено 24 интерфейсные единицы; покрытие сценариев – 100 %, 35 переходов навигации. Единицы приоритета P1 образуют цепочку «ценность → доверие → выбор → заявка → первый результат → поддержка» (таблица 31).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31 – Интерфейсные единицы приоритета P1 (ЛР6)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(лендинг)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Free/Pro + заявка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IDE: редактор + холст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нотации и типа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 / Problems + тосты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Системное состояние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Меню сохранения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 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Платёжный экран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Интерфейсные единицы методики ЛР7 сопоставлены с единицами ЛР6 (таблица 32).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32 – Паспорт интерфейсных единиц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70"/>
        <w:gridCol w:w="3611"/>
        <w:gridCol w:w="3474"/>
      </w:tblGrid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 методики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 NotaCode (ЛР6)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страница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 Главная (лендинг)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проблемы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 Нотации и правила (P3), U-018 Документация в IDE (P2)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(документация), следующий (страницы нотаций)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/ список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 Панель шаблонов, U-009 Выбор нотации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Карточка товара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 Тарифы Free/Pro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 заявки / оплаты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 заявка «Хочу Pro», U-019 модалка лимита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(заявка), R2 (оплата)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Личный кабинет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 Проекты и файлы, U-016 История версий, U-020 Профиль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частично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Административный раздел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U-022 Администрирование шаблонов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в R1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Функции и контент первого релиза по единицам разработки ЛР6 приведены в таблице 33.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33 – Функции и контент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39"/>
        <w:gridCol w:w="4351"/>
        <w:gridCol w:w="2864"/>
      </w:tblGrid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Единицы разработки R1 (ЛР6)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ценности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 редактор DSL, RU-002 разбор и диагностика, RU-003 профили волны 1 с валидацией, RU-004 холст, RU-006 Problems и тосты, RU-007 шаблоны, RU-008 документация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и сохранение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RU-010 вход и регистрация, RU-011 БД (лимит 5 проектов), RU-012 устройство, RU-013 ручной push в GitHub, RU-015 экспорт SVG/PNG/XML, RU-016 история 20 версий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 для отчёта, удержание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Витрина и монетизация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RU-017 лендинг, RU-018 тарифы + заявка + модалка лимита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Доверие, проверка готовности платить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и право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RU-019 события аналитики и обратная связь, RU-020 правовые документы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 пилота, доверие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ТЗ первого релиза включает главную страницу, страницу тарифов с заявкой, IDE с редактором и холстом, выбор нотации, панель Problems, меню сохранения, экспорт и модалку лимита. Функции: редактор, разбор, валидация волны 1, сохранение, экспорт, история 20 версий, заявка на Pro, аналитика. Контент: ценность, шаблоны, документация, тарифы, правовые документы. Всё это напрямую поддерживает сценарии S-003, S-004, S-005, S-007, S-008 и проверяет ценность, спрос и монетизацию. Администрирование шаблонов, страницы нотаций для SEO, публичные ссылки и центр уведомлений переносятся в следующие релизы: они требуют дополнительных ресурсов и усиливают развитие, но не определяют стартовую ценность.</w:t>
      </w:r>
    </w:p>
    <w:bookmarkEnd w:id="44"/>
    <w:bookmarkStart w:id="46" w:name="X6fbfd264f9ea7454845142dab8a87f3e23487f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 Деление разработки на первый и последующие релизы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ЛР6 [23] 38 единиц разработки RU-001…RU-038 оценены по индексу релизного приоритета методики ЛР6: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ИРП = (0,20·ЗП + 0,20·СЦ + 0,15·СС + 0,15·МН + 0,10·УД + 0,10·РА + 0,10·ДК) − (0,15·СЛ + 0,10·РЗ),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ЗП – значимость проблемы; СЦ – связь с ЦП; СС – сценарная центральность; МН – монетизация; УД – удержание; РА – рост аудитории; ДК – доказательность; СЛ – сложность; РЗ – риск (шкала 0–5). Решение о релизе принято по баллам шаблона ЛР6 с учётом риска потери ценности при переносе. Средний ИРП состава R1 – 3,12; ИРП ≥ 3,5 имеют 4 единицы. ИРП по релизам показан на рисунке 6.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25966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6_ИРП_релизов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Индекс релизного приоритета единиц разработки по релизам (ЛР6)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ключевых элементов по критериям методики ЛР7 дана по результатам ЛР6 (таблица 34).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34 – Оценка ключевых элементов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15"/>
        <w:gridCol w:w="716"/>
        <w:gridCol w:w="3760"/>
        <w:gridCol w:w="1163"/>
      </w:tblGrid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ИРП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шаблона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 Редактор DSL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RU-015 Экспорт SVG/PNG/XML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RU-007 Шаблоны нотаций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RU-017 Лендинг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RU-002 Разбор DSL и диагностика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(ядро, риск потери ценности)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RU-003 Профили нотаций волны 1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(ядро)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RU-018 Тарифы + заявка «Хочу Pro»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RU-005 Кросс-подсветка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RU-009 AI-заглушка + BYOK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RU-025 Оплата Pro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RU-014 Google Drive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RU-031 Нотации волны 2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2,30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RU-034 AI на серверных ключах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2,40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RU-038 Совместное редактирование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1,10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Вне плана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План релизов ЛР6 приведён в таблице 35.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35 – План релизов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76"/>
        <w:gridCol w:w="1966"/>
        <w:gridCol w:w="1825"/>
        <w:gridCol w:w="2894"/>
        <w:gridCol w:w="1893"/>
      </w:tblGrid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Сроки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перехода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21.09–04.10.2026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Данные, прототип, правила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Требования, архитектура, мокапы, walking skeleton, CI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Skeleton работает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 (MVP)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28.09–06.12.2026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ЦП и целевое действие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(таблица 33)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11.01–28.02.2027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Удержание, качество, запуск оплаты Pro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единиц: кросс-подсветка, AI-заглушка, Google Drive, onboarding, quick fix, undo/redo, уведомления, оплата Pro, импорт, PWA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25 %, есть оплаты Pro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01.03–31.05.2027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аудитории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 единиц: RU/EN, публичные ссылки и галерея, кабинет преподавателя, нотации волны 2, все форматы экспорта, реферальная механика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Подтверждён масштабируемый канал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01.06–30.09.2027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продукта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единицы: серверный AI, волна 3, Kroki, «изображение → DSL»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Юнит-экономика положительна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Первый релиз включает 17 единиц: ядро ценности, доступ и сохранение, лендинг и тарифы с заявкой «Хочу Pro», аналитику и правовые документы. Они нужны для проверки ценности, спроса и монетизации и реализуемы с ограниченными затратами к 06.12.2026. Проверка сохранения ЦП по шести вопросам методики дала 4,17 из 5. В следующие релизы переносятся кросс-подсветка, AI, Google Drive, оплата Pro (R2), рост аудитории (R3) и расширение продукта (R4): они усиливают удержание, рост и автоматизацию, но не обязательны для рыночного старта. Расхождение с планом Scrumban (RU-005, RU-009, RU-014 – Must MVP в плане) вынесено на решение Product Owner.</w:t>
      </w:r>
    </w:p>
    <w:bookmarkEnd w:id="46"/>
    <w:bookmarkStart w:id="48" w:name="решение-о-целесообразности-старт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2.13 Решение о целесообразности старта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Матрица решения по восьми критериям методики заполнена по результатам ЛР1–ЛР6 (таблица 36).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36 – Матрица решения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5"/>
        <w:gridCol w:w="2725"/>
        <w:gridCol w:w="2904"/>
        <w:gridCol w:w="1799"/>
      </w:tblGrid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Порог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 по проекту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подтверждена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Повторяется в нескольких независимых источниках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P-001: ИПП 4,35, индекс 90; сайты 12 конкурентов, поисковые кластеры; отзывы и опрос не собраны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 (частично)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подтверждён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Устойчивые или коммерчески значимые запросы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+94,2 %, наклон +0,758 п./мес, Беларусь №5; матрица ЛР1 13/18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 достаточен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Достижимый объём покрывает проверочные расходы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1,4–2,9 тыс. BYN при нулевых денежных расходах; KPI 6 480 BYN – только в оптимистичном сценарии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с оговоркой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Конкурентный пробел найден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 не сводится к копированию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Валидация, IDEF/DFD, кросс-подсветка, diff – не более чем у 3 из 12 конкурентов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сформулирована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– проблема – результат – механизм – доказательство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VP-001; ИКЦП 3,83, ИКСТ 3,80 – «нужно уточнение»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с уточнением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 определена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Понятно, за что и кто платит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12 BYN/мес; связь «товар ↔ монетизация» не подтверждена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 (проверка в R1)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реалистичен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Дешевле и быстрее полной версии, сохраняет ценность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из 38 единиц, MVP к 06.12.2026, проверка ЦП 4,17 из 5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управляемы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делают проверку чрезмерно рискованной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3,92 (средние), выход обратимый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при специализации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типологии методики решение –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«стартовать ограниченно»</w:t>
      </w:r>
      <w:r>
        <w:rPr>
          <w:rFonts w:ascii="Times New Roman" w:hAnsi="Times New Roman"/>
          <w:color w:val="000000"/>
          <w:sz w:val="28"/>
        </w:rPr>
        <w:t xml:space="preserve">: гипотеза перспективна, но проблема и монетизация проверяются в пилоте. Размер и границы старта приведены в таблице 37.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37 – Размер и границы старта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94"/>
        <w:gridCol w:w="6460"/>
      </w:tblGrid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Беларусь, русский интерфейс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 (первичный); S-02, S-03 – ранние пользователи Pro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товара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diagram as code для строгих нотаций, NotaCode Free + заявка на Pro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привлечения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Органический поиск, GitHub, рекомендации преподавателей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Предел инвестиций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– 0 (бесплатные тарифы), около 610 ч разработки до получения метрик R1; платные сервисы не подключаются до выполнения порога продолжения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Контрольные метрики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(первая диаграмма ≤ 10 мин), доля Run без ошибки за ≤ 3 итерации, D7, экспорт на пользователя, заявки Pro ÷ упоры в лимит (ЛР6)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продолжения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пересмотра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&lt; 20 % или D7 &lt; 10 % – пересмотр ЦП и онбординга до R2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MVP – 06.12.2026; R2 – с 11.01.2027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Целевые показатели показаны на рисунке 7.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Рис_7_7_K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Пороги первого релиза (ЛР6) и KPI первого года (концепция NotaCode)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По результатам анализа рекомендуется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стартовать ограниченно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проект NotaCode в границах Республики Беларусь, сегмента студентов технических специальностей с ранними пользователями Pro среди аналитиков и архитекторов, с товаром NotaCode Free и заявкой на Pro, через органический поиск, GitHub и преподавателей. Основания: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спрос подтверждён через Google Trends (+94,2 %, Беларусь №5 в мире по PlantUML);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достаточен, поскольку пять методов ЛР2–3 дают SOM 1,4–2,9 тыс. BYN при нулевых денежных расходах проверки;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проблема P-001 подтверждена приоритетом 4,35 и сайтами 12 конкурентов;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ЦП формулируется как «корректная по правилам нотации диаграмма с указанием строки нарушения»;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релиз из 17 единиц позволяет проверить активацию, D7 и долю заявок на Pro.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Условия старта: MVP к 06.12.2026, инфраструктура без затрат, продолжение при D7 ≥ 25 % и заявках ≥ 3 % активных Free. Риски: срок нотаций волны 1, нагрузка лабораторными, качество сигнала заявок, пограничная платёжеспособность студентов.</w:t>
      </w:r>
    </w:p>
    <w:bookmarkEnd w:id="48"/>
    <w:bookmarkStart w:id="49" w:name="приложения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2.14 Приложения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Приложения 1–5 методики (паспорт итогового отчёта, карта доказательств, контрольный лист полноты, минимальная форма ТЗ первого релиза, заключение отчёта) оформлены в конце отчёта как приложения А–Д.</w:t>
      </w:r>
    </w:p>
    <w:bookmarkEnd w:id="49"/>
    <w:bookmarkEnd w:id="50"/>
    <w:bookmarkStart w:id="51" w:name="ответы-на-контрольные-вопрос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ОТВЕТЫ НА КОНТРОЛЬНЫЕ ВОПРОСЫ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Резюме пишут последним, потому что оно обобщает выводы всех аналитических разделов. Ставят первым, чтобы по нему одному можно было принять первичное управленческое решение (подраздел 2.1).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Фиксируются гипотезы проблемы, спроса, ценности, монетизации и удержания. Они проверяются отзывами и опросом, поисковой статистикой, сравнением функций конкурентов, ценами аналогов, регулярностью задачи (таблица 6).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Запросы делятся на проблемные, категорийные, коммерческие, сравнительные и брендовые. Проблемные дают страницы правил, категорийные – название товара на главной, коммерческие – тарифы, сравнительные – блок отличий, брендовые – оценку силы конкурентов (таблица 9).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даёт относительный индекс, а не объём, и последняя неделя ряда неполная. Частотность Вордстат не равна числу покупателей и требует фильтрации и группировки (таблица 7).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Спрос оценивается по устойчивости интереса, сезонности, коммерческой направленности, ширине ядра и региональной пригодности. Для NotaCode – 11 из 15 (таблица 10).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Общий доступный рынок – верхняя граница (TAM 2,65–14,38 млн BYN). Обслуживаемый рынок – клиенты в границах старта (SAM 23–66 тыс. BYN). Достижимая доля – выручка первого года (SOM 1,4–2,9 тыс. BYN). Минимальный жизнеспособный объём – порог «постоянные расходы / валовая маржа» (таблица 13).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достаточен, если достижимая выручка старта не меньше минимальной выручки для проверки (таблица 15).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Уровни: прямые, близкие, косвенные конкуренты, заменители, ориентиры лучшей практики. Веса методики ЛР7: проблема 25 %, аудитория 20 %, товар 20 %, канал 10 %, монетизация 15 %, заменяемость 10 %. В ЛР5 применён десятикритериальный шаблон по формуле (5).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входа: технологический, контентный, доверительный, канальный, правовой, операционный, финансовый. Барьеры выхода: финансовые, репутационные, технические, данные пользователей, командная нагрузка. Они определяют, что исключается из первого релиза (таблицы 19–21).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Проблемы бывают функциональные, информационные, экономические, доверительные, организационные. В ЦП им соответствуют ускорение, ясность, экономия, гарантии, управляемость (таблица 23).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 товара: ядро пользы, базовый, ожидаемый, расширенный, потенциальный. Ядро – за что платят, базовый – минимально продаваемая единица, ожидаемый влияет на доверие, расширенный обосновывает цену, потенциальный – рост (таблица 25).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Проверяются связи «сегмент – ценность», «ценность – товар», «товар – доход», «каналы – рынок», «ресурсы – релиз», «затраты – доход» (таблица 28).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Обязательно входят сценарии получения первой ценности, монетизации и доверия; удержание – частично (таблица 30).</w:t>
      </w:r>
    </w:p>
    <w:p>
      <w:pPr>
        <w:keepNext w:val="0"/>
        <w:numPr>
          <w:ilvl w:val="0"/>
          <w:numId w:val="1003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ТЗ первого релиза обычно входят: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главная страница, каталог и карточка;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форма заявки или оплаты;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минимальный административный раздел;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контент с ценностью, доказательствами, тарифами и частыми вопросами (таблицы 31–33).</w:t>
      </w:r>
    </w:p>
    <w:p>
      <w:pPr>
        <w:keepNext w:val="0"/>
        <w:numPr>
          <w:ilvl w:val="0"/>
          <w:numId w:val="1005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Решение принимается по восьми критериям: проблема, спрос, рынок, конкурентный пробел, ценность, монетизация, первый релиз, барьеры. Возможны решения «стартовать», «стартовать ограниченно», «доработать», «не стартовать» (таблица 36).</w:t>
      </w:r>
    </w:p>
    <w:p>
      <w:pPr>
        <w:keepNext w:val="0"/>
        <w:numPr>
          <w:ilvl w:val="0"/>
          <w:numId w:val="1005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Размер и границы старта задаются географией, аудиторией, категорией товара, каналом, пределом инвестиций и контрольными метриками (таблица 37).</w:t>
      </w:r>
    </w:p>
    <w:p>
      <w:pPr>
        <w:keepNext w:val="0"/>
        <w:numPr>
          <w:ilvl w:val="0"/>
          <w:numId w:val="1005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Краткое резюме содержит девять блоков: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и решение;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идея и рынок;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конкуренция;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ЦП и монетизация;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Канвас;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релизы и ТЗ;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и риски;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формулировка решения;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краткий вывод.</w:t>
      </w:r>
    </w:p>
    <w:bookmarkEnd w:id="51"/>
    <w:bookmarkStart w:id="52" w:name="выводы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ЛР1–ЛР6 сведены в итоговый отчёт по бизнес-анализу NotaCode по 14 разделам методики. Каждый раздел завершается элементом итогового текста. Приложения А–Д содержат паспорт отчёта, карту доказательств, контрольный лист полноты, минимальное ТЗ и заключение. Резюме составлено последним и помещено в начало хода работы. Дополнительно подготовлено краткое резюме проекта по девяти блокам шаблона.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спроса (ЛР1) подтвердил растущий интерес к категории: индекс Google Trends PlantUML вырос на 94,2 % по средним первых и последних 12 месяцев 40-месячного ряда, наклон тренда +0,758 пункта в месяц. Беларусь занимает 5-е место в мире по интересу к PlantUML. Семантическое ядро содержит 50 запросов в 10 кластерах, матрица перспективности дала 13 из 18 и решение «сузить».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рынка (ЛР2–3) пятью независимыми методами дала TAM 2,65–14,38 млн BYN, SAM 23–66 тыс. BYN и SOM первого года 1,4–2,9 тыс. BYN, то есть 12–25 платящих пользователей при цене Pro 12 BYN в месяц. Этого достаточно для проверки модели при нулевых денежных расходах на инфраструктуру. Целевой KPI (45 платящих, 6 480 BYN) достижим только в оптимистичном сценарии.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Конкурентное давление высокое (ЛР4): 4,00 по пяти силам, барьеры входа 3,92 – средние у верхней границы, CR3 = 99,8 %. Из 20 компаний (ЛР5) прямым конкурентом признан PlantUML, близким – Eraser, главным заменителем для студентов – draw.io. Зоны дифференциации: валидация правил нотации, профили IDEF/DFD, кросс-подсветка и построчный diff – признаки, которые есть не более чем у 3 из 12 конкурентов.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результатам ЛР6 опорной выбрана проблема P-001 (ИПП 4,35), ценностное предложение VP-001 получило ИКЦП 3,83. Бизнес-модель по Канвас собрана с полнотой 88,9 % и связностью 80 %. Тринадцать сценариев переведены в 24 интерфейсные единицы, 38 единиц разработки распределены по релизам: R1 – 17, R2 – 10, R3 – 6, R4 – 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Шесть из восьми критериев матрицы решения выполнены полностью или с оговоркой, а подтверждение проблемы и монетизации требует доработки. Поэтому принято решение об ограниченном старте (пилоте) в границах Республики Беларусь. Первый релиз из 17 единиц выпускается к 06.12.2026. Переход ко второму релизу возможен при удержании D7 не ниже 25 % и доле заявок на Pro не ниже 3 % активных пользователей Free. До защиты нужно снять данные Вордстат, 30 отзывов и провести опрос не менее 30 респондентов.</w:t>
      </w:r>
    </w:p>
    <w:bookmarkEnd w:id="52"/>
    <w:bookmarkStart w:id="53" w:name="список-использованных-источников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итогового отчёта по бизнес-анализу. Шаблон краткого резюме проекта : материалы к лабораторной работе № 7 по дисциплине «Электронный бизнес». – Минск : БГУИР,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[Электронный ресурс]. – Режим доступа: https://wordstat.yandex.ru.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GDP 1960–2024 // Macrotrends [Электронный ресурс]. – Режим доступа: https://www.macrotrends.net.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IT Industry in 2026 // Open Company in Belarus [Электронный ресурс]. – Режим доступа: https://opencompanyinbelarus.com.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Образование в Беларуси // Официальный сайт Республики Беларусь [Электронный ресурс]. – Режим доступа: https://www.belarus.by.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[Электронный ресурс]. – Режим доступа: https://www.similarweb.com. – Дата доступа: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Declarative Diagramming [Электронный ресурс]. – Режим доступа: https://d2lang.com. – Дата доступа: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Lucidchart [Электронный ресурс]. – Режим доступа: https://www.lucidchart.com. – Дата доступа: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Концепция проекта NotaCode : проектная документация / К. Хаджинова. – Минск,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SMART-цели, KPI и метрики продукта NotaCode : проектная документация / К. Хаджинова. – Минск,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План работы над NotaCode: Scrum + Kanban : проектная документация / К. Хаджинова. – Минск,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Остервальдер, А. Построение бизнес-моделей : настольная книга стратега и новатора / А. Остервальдер, И. Пинье. – М. : Альпина Паблишер, 2011. – 288 с.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Портер, М. Конкурентная стратегия : методика анализа отраслей и конкурентов / М. Портер. – М. : Альпина Паблишер, 2011. – 454 с.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Анализ спроса и фиксация границ рынка NotaCode : отчёт по лабораторной работе № 1 / К. Хаджинова. – Минск : БГУИР,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Оценка объёма рынка NotaCode : отчёт по лабораторным работам № 2–3 / К. Хаджинова. – Минск : БГУИР,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Пять сил Портера и барьеры входа : отчёт по лабораторной работе № 4 / К. Хаджинова. – Минск : БГУИР,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Анализ конкурентов по сайтам : отчёт по лабораторной работе № 5 / К. Хаджинова. – Минск : БГУИР,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Ценностное предложение, Канвас, сценарии, экраны и релизы NotaCode : отчёт по лабораторной работе № 6 / К. Хаджинова. – Минск : БГУИР, 2026.</w:t>
      </w:r>
    </w:p>
    <w:bookmarkEnd w:id="53"/>
    <w:bookmarkStart w:id="54" w:name="Xce698162b24a7240e61ca1c3df9077ec5c01c8e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Паспорт итогового отчёта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Паспорт итогового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5"/>
        <w:gridCol w:w="6500"/>
      </w:tblGrid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проекта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Краткое описание идеи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(PWA) diagram as code: один DSL для строгих нотаций, валидация правил, раскладка, версии, экспорт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сегмент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специальностей; платящие – S-02, S-03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старта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Основная проблема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– ручное построение диаграмм строгих нотаций и отсутствие проверки правил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с указанием строки нарушения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Free (Pro – расширенный уровень)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Pro за период на пользователя, 12 BYN/мес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разработки R1 (таблица 33)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Контрольные метрики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Активация, Run без ошибки, D7, экспорт, заявки Pro ÷ упоры в лимит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Ограниченный старт (пилот)</w:t>
            </w:r>
          </w:p>
        </w:tc>
      </w:tr>
    </w:tbl>
    <w:bookmarkEnd w:id="54"/>
    <w:bookmarkStart w:id="55" w:name="Xe72410d41c999398305a60c789eb710304c0241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Карта доказательств по разделам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Карта доказательств по разделам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48"/>
        <w:gridCol w:w="1261"/>
        <w:gridCol w:w="2459"/>
        <w:gridCol w:w="1138"/>
        <w:gridCol w:w="646"/>
        <w:gridCol w:w="1900"/>
      </w:tblGrid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Утверждение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Подраздел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 1–5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Интерес к категории растёт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+94,2 %, наклон +0,758 п./мес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ЛР1, Google Trends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индекс, замер по миру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– рынок с повышенным интересом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2.3, 2.4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5-е место из 71 страны по PlantUML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ЛР1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Концентрация, не объём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 достаточен для проверки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1,4–2,9 тыс. BYN пятью методами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Коэффициенты – допущения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Сегменты платёжеспособны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3,23, маржа 75 %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Бюджет S-01 пограничный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Конкурентное давление высокое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2.6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Пять сил 4,00, барьеры 3,92, CR3 99,8 %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ЛР4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HHI различается в ЛР2–3 и ЛР4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конкурентный пробел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Зоны дифференциации – не более 3 из 12 конкурентов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Оценки одного эксперта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P-001 критическая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ИПП 4,35, индекс 90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отзывов и опроса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 требует уточнения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ИКЦП 3,83, ИКСТ 3,80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Доказуемость 3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 пригодна для решения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Полнота 88,9 %, связность 80 %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 41,7 %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сохраняет ЦП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2.12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4,17 из 5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Экспертные оценки</w:t>
            </w:r>
          </w:p>
        </w:tc>
      </w:tr>
    </w:tbl>
    <w:bookmarkEnd w:id="55"/>
    <w:bookmarkStart w:id="56" w:name="X7e42bef59e339ea5f7c3a6c128b523a219f1a3f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В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Контрольный лист полноты отчёта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В.1 – Контрольный лист полноты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58"/>
        <w:gridCol w:w="5155"/>
        <w:gridCol w:w="2644"/>
        <w:gridCol w:w="896"/>
      </w:tblGrid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Ответ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Где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исходная идея и её гипотезы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подтверждён динамикой и группами запросов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(Вордстат 🔲)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Границы рынка описаны через сегмент, географию, задачу и канал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2.4.1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Размер рынка оценён для решения о старте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2.4.2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 разделены по уровням близости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и пробел сформулированы явно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входа и выхода оценены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2.6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 подтверждены несколькими источниками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(отзывы, опрос 🔲)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 связано с доказанной проблемой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 – носитель ценности и единица монетизации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Канвас заполнен и проверен на связность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Сценарии выведены из бизнес-логики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2.10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Страницы, функции, контент связаны со сценариями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2.11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отделён по понятным критериям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2.12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 содержит условия, границы и метрики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2.13</w:t>
            </w:r>
          </w:p>
        </w:tc>
      </w:tr>
    </w:tbl>
    <w:bookmarkEnd w:id="56"/>
    <w:bookmarkStart w:id="57" w:name="Xfea02b4b9ff2889b595633ce818fc543a6e65dd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Г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Минимальная форма ТЗ для первого релиза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Г.1 – Минимальная форма ТЗ для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620"/>
        <w:gridCol w:w="5734"/>
      </w:tblGrid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Раздел ТЗ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 для NotaCode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Назначение продукта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для студентов технических специальностей: корректные диаграммы строгих нотаций из текста с проверкой правил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первого релиза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разработки (таблица 33)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Пользовательские роли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Посетитель, новый пользователь, активный пользователь, потенциальный плательщик (таблица 29)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Сценарии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 → S-003 → S-004 → S-005 → S-007; поддержка S-008 (таблица 30)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Страницы и экраны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U-001, U-004, U-008, U-009, U-011, U-013, U-014, U-019 (таблица 31)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Ценность, шаблоны, документация нотаций, тарифы, правовые документы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Функциональные требования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DSL, разбор и диагностика, валидация волны 1, холст, сохранение, экспорт, история 20 версий, заявка Pro, аналитика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Нефункциональные требования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 p95 ≤ 300 мс (200 узлов), Lighthouse ≥ 90, покрытие тестами 100 %, защита от XSS в SVG, светлая и тёмная темы (концепция, QG-01…QG-10)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 первого релиза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≤ 10 мин, Run без ошибки за ≤ 3 итерации, D7, экспорт на пользователя, заявки Pro ÷ упоры в лимит</w:t>
            </w:r>
          </w:p>
        </w:tc>
      </w:tr>
    </w:tbl>
    <w:bookmarkEnd w:id="57"/>
    <w:bookmarkStart w:id="58" w:name="X33aa70f419ede292fcb5b64166cd4d68b93d6e2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Д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 отчёта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Д.1 – Заключение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2"/>
        <w:gridCol w:w="6362"/>
      </w:tblGrid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Текст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Общее решение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Рекомендуется ограниченный старт (пилот) NotaCode в границах Республики Беларусь, сегмента студентов технических специальностей с ранними пользователями Pro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1: спрос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Google Trends PlantUML вырос на 94,2 %, Беларусь – 5-е место в мире; интерес растущий и регионально подтверждённый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2: рынок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1,4–2,9 тыс. BYN в год по пяти методам при SAM 23–66 тыс. BYN и нулевых денежных расходах проверки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3: проблема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(ИПП 4,35) подтверждена сайтами конкурентов и поисковыми кластерами, имеет функциональный и доверительный характер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4: ценность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правил нотации с указанием строки нарушения отличает NotaCode от PlantUML и draw.io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5: монетизация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Pro 12 BYN/мес занимает незанятую ценовую позицию между бесплатными инструментами и Eraser (15–60 USD)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ядра, доступа, витрины и аналитики; без оплаты, кросс-подсветки, AI, Google Drive и волн 2–3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Условия продолжения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Free; пересмотр при активации &lt; 20 % или D7 &lt; 10 %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 нотаций волны 1 (R-001), нагрузка лабораторными (R-008), качество сигнала заявок (R-002), пограничная платёжеспособность S-01. Меры: одна нотация за спринт, дорожка Expedite, модалка лимита, отзывы и опрос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Финальный вывод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Запуск условно целесообразен в указанном размере и границах</w:t>
            </w:r>
          </w:p>
        </w:tc>
      </w:tr>
    </w:tbl>
    <w:bookmarkEnd w:id="58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71315dca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15">
    <w:nsid w:val="47261bad"/>
    <w:multiLevelType w:val="multilevel"/>
    <w:lvl w:ilvl="0">
      <w:start w:val="15"/>
      <w:numFmt w:val="decimal"/>
      <w:lvlText w:val="%1)"/>
      <w:lvlJc w:val="left"/>
      <w:pPr>
        <w:ind w:left="720" w:hanging="480"/>
      </w:pPr>
    </w:lvl>
    <w:lvl w:ilvl="1">
      <w:start w:val="15"/>
      <w:numFmt w:val="decimal"/>
      <w:lvlText w:val="%2)"/>
      <w:lvlJc w:val="left"/>
      <w:pPr>
        <w:ind w:left="1440" w:hanging="480"/>
      </w:pPr>
    </w:lvl>
    <w:lvl w:ilvl="2">
      <w:start w:val="15"/>
      <w:numFmt w:val="decimal"/>
      <w:lvlText w:val="%3)"/>
      <w:lvlJc w:val="left"/>
      <w:pPr>
        <w:ind w:left="2160" w:hanging="480"/>
      </w:pPr>
    </w:lvl>
    <w:lvl w:ilvl="3">
      <w:start w:val="15"/>
      <w:numFmt w:val="decimal"/>
      <w:lvlText w:val="%4)"/>
      <w:lvlJc w:val="left"/>
      <w:pPr>
        <w:ind w:left="2880" w:hanging="480"/>
      </w:pPr>
    </w:lvl>
    <w:lvl w:ilvl="4">
      <w:start w:val="15"/>
      <w:numFmt w:val="decimal"/>
      <w:lvlText w:val="%5)"/>
      <w:lvlJc w:val="left"/>
      <w:pPr>
        <w:ind w:left="3600" w:hanging="480"/>
      </w:pPr>
    </w:lvl>
    <w:lvl w:ilvl="5">
      <w:start w:val="15"/>
      <w:numFmt w:val="decimal"/>
      <w:lvlText w:val="%6)"/>
      <w:lvlJc w:val="left"/>
      <w:pPr>
        <w:ind w:left="4320" w:hanging="480"/>
      </w:pPr>
    </w:lvl>
    <w:lvl w:ilvl="6">
      <w:start w:val="15"/>
      <w:numFmt w:val="decimal"/>
      <w:lvlText w:val="%7)"/>
      <w:lvlJc w:val="left"/>
      <w:pPr>
        <w:ind w:left="5040" w:hanging="480"/>
      </w:pPr>
    </w:lvl>
    <w:lvl w:ilvl="7">
      <w:start w:val="15"/>
      <w:numFmt w:val="decimal"/>
      <w:lvlText w:val="%8)"/>
      <w:lvlJc w:val="left"/>
      <w:pPr>
        <w:ind w:left="5760" w:hanging="480"/>
      </w:pPr>
    </w:lvl>
    <w:lvl w:ilvl="8">
      <w:start w:val="15"/>
      <w:numFmt w:val="decimal"/>
      <w:lvlText w:val="%9)"/>
      <w:lvlJc w:val="left"/>
      <w:pPr>
        <w:ind w:left="6480" w:hanging="480"/>
      </w:pPr>
    </w:lvl>
  </w:abstractNum>
  <w:abstractNum w:abstractNumId="99411">
    <w:nsid w:val="b3cbbdee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2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47" Type="http://schemas.openxmlformats.org/officeDocument/2006/relationships/image" Target="media/rId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2026-09-26T13:46:50Z</dcterms:created>
  <dcterms:modified xsi:type="dcterms:W3CDTF">2026-09-26T13:46:50Z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