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ЛР4. Пять сил Портера (адаптировано для e-business) + барьеры входа/выхода</w:t>
      </w:r>
    </w:p>
    <w:p>
      <w:pPr>
        <w:spacing w:after="120"/>
      </w:pPr>
      <w:r>
        <w:t xml:space="preserve">Объект анализа: </w:t>
      </w:r>
      <w:r>
        <w:rPr>
          <w:b/>
          <w:bCs/>
        </w:rPr>
        <w:t xml:space="preserve">DiagramCode</w:t>
      </w:r>
      <w:r>
        <w:t xml:space="preserve"> в границах рынка, зафиксированных в ЛР1 (русскоязычные IT-команды, инструменты «диаграмма как код» с AI-генерацией).</w:t>
      </w:r>
    </w:p>
    <w:p>
      <w:pPr>
        <w:pStyle w:val="Heading1"/>
        <w:spacing w:after="120" w:before="240"/>
      </w:pPr>
      <w:r>
        <w:t xml:space="preserve">1. Матрица пяти сил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Сила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Оценка (1/3/5)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Обоснование (с реальными данными)</w:t>
            </w:r>
          </w:p>
        </w:tc>
      </w:tr>
      <w:tr>
        <w:tc>
          <w:tcPr>
            <w:tcW w:type="dxa" w:w="3212"/>
          </w:tcPr>
          <w:p>
            <w:r>
              <w:t xml:space="preserve">Конкуренция между существующими игроками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4 (высокая)</w:t>
            </w:r>
          </w:p>
        </w:tc>
        <w:tc>
          <w:tcPr>
            <w:tcW w:type="dxa" w:w="3212"/>
          </w:tcPr>
          <w:p>
            <w:r>
              <w:t xml:space="preserve">Категория заполнена: PlantUML (открытый, встроен в IDE/CI, устойчивый рост интереса — ЛР1), Mermaid (открытый + коммерческий MermaidChart), D2, Eraser.io (венчурный стартап с AI и полноценным прайсингом — см. ЛР2-3). Прямых аналогов, совмещающих DSL + git-версионирование + AI + канвас + совместное редактирование в одном продукте, меньше (реально только Eraser.io делает похожий набор), но соседних ниш много</w:t>
            </w:r>
          </w:p>
        </w:tc>
      </w:tr>
      <w:tr>
        <w:tc>
          <w:tcPr>
            <w:tcW w:type="dxa" w:w="3212"/>
          </w:tcPr>
          <w:p>
            <w:r>
              <w:t xml:space="preserve">Угроза новых участников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4 (высокая)</w:t>
            </w:r>
          </w:p>
        </w:tc>
        <w:tc>
          <w:tcPr>
            <w:tcW w:type="dxa" w:w="3212"/>
          </w:tcPr>
          <w:p>
            <w:r>
              <w:t xml:space="preserve">Технический вход дешёвый (открытые парсер-генераторы, LLM API по подписке), особенно на фоне общего бума AI-инструментов для разработчиков. Реальный барьер — не технология, а доверие/сообщество/интеграции (GitHub, VS Code marketplace), которые у новых игроков нет с первого дня</w:t>
            </w:r>
          </w:p>
        </w:tc>
      </w:tr>
      <w:tr>
        <w:tc>
          <w:tcPr>
            <w:tcW w:type="dxa" w:w="3212"/>
          </w:tcPr>
          <w:p>
            <w:r>
              <w:t xml:space="preserve">Сила покупателей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4 (высокая)</w:t>
            </w:r>
          </w:p>
        </w:tc>
        <w:tc>
          <w:tcPr>
            <w:tcW w:type="dxa" w:w="3212"/>
          </w:tcPr>
          <w:p>
            <w:r>
              <w:t xml:space="preserve">Разработчики привыкли сравнивать инструменты и легко переключаются между бесплатными альтернативами (PlantUML/Mermaid — открытый исходный код, $0). Издержки переключения растут только после накопления истории версий и общего DSL-кода в DiagramCode — то есть сила покупателя высока именно до момента накопления данных</w:t>
            </w:r>
          </w:p>
        </w:tc>
      </w:tr>
      <w:tr>
        <w:tc>
          <w:tcPr>
            <w:tcW w:type="dxa" w:w="3212"/>
          </w:tcPr>
          <w:p>
            <w:r>
              <w:t xml:space="preserve">Сила поставщиков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4 (высокая)</w:t>
            </w:r>
          </w:p>
        </w:tc>
        <w:tc>
          <w:tcPr>
            <w:tcW w:type="dxa" w:w="3212"/>
          </w:tcPr>
          <w:p>
            <w:r>
              <w:t xml:space="preserve">Ключевая зависимость — внешний LLM/VLM-провайдер для AI-режимов (OpenAI/Anthropic и т.п.) и облачная инфраструктура (Neon Postgres, Render, Netlify). Частично снижено архитектурным решением: </w:t>
            </w:r>
            <w:r>
              <w:rPr>
                <w:rFonts w:ascii="Consolas" w:cs="Consolas" w:eastAsia="Consolas" w:hAnsi="Consolas"/>
              </w:rPr>
              <w:t xml:space="preserve">AIProvider</w:t>
            </w:r>
            <w:r>
              <w:t xml:space="preserve"> — Strategy-паттерн за общим интерфейсом (</w:t>
            </w:r>
            <w:r>
              <w:rPr>
                <w:rFonts w:ascii="Consolas" w:cs="Consolas" w:eastAsia="Consolas" w:hAnsi="Consolas"/>
              </w:rPr>
              <w:t xml:space="preserve">backend/app/domain/interfaces.py</w:t>
            </w:r>
            <w:r>
              <w:t xml:space="preserve">), провайдер выбирается через конфигурацию </w:t>
            </w:r>
            <w:r>
              <w:rPr>
                <w:rFonts w:ascii="Consolas" w:cs="Consolas" w:eastAsia="Consolas" w:hAnsi="Consolas"/>
              </w:rPr>
              <w:t xml:space="preserve">.env</w:t>
            </w:r>
            <w:r>
              <w:t xml:space="preserve"> без изменения кода — снижает, но не убирает зависимость</w:t>
            </w:r>
          </w:p>
        </w:tc>
      </w:tr>
      <w:tr>
        <w:tc>
          <w:tcPr>
            <w:tcW w:type="dxa" w:w="3212"/>
          </w:tcPr>
          <w:p>
            <w:r>
              <w:t xml:space="preserve">Угроза заменителей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5 (очень высокая)</w:t>
            </w:r>
          </w:p>
        </w:tc>
        <w:tc>
          <w:tcPr>
            <w:tcW w:type="dxa" w:w="3212"/>
          </w:tcPr>
          <w:p>
            <w:r>
              <w:t xml:space="preserve">Draw.io/Lucidchart/Visio (визуальные редакторы), Figma для схем, обычная текстовая документация без диаграмм вообще, ручное рисование на бумаге/доске — все это реальные заменители с нулевой стоимостью перехода для командыcommand, которая ещё не приняла привычку «диаграмма как код»</w:t>
            </w:r>
          </w:p>
        </w:tc>
      </w:tr>
      <w:tr>
        <w:tc>
          <w:tcPr>
            <w:tcW w:type="dxa" w:w="3212"/>
          </w:tcPr>
          <w:p>
            <w:r>
              <w:t xml:space="preserve">Цифровые усилители (сетевые эффекты/данные/платформы)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3 (средняя)</w:t>
            </w:r>
          </w:p>
        </w:tc>
        <w:tc>
          <w:tcPr>
            <w:tcW w:type="dxa" w:w="3212"/>
          </w:tcPr>
          <w:p>
            <w:r>
              <w:t xml:space="preserve">Сетевых эффектов пока мало (совместное редактирование — только Волна 2, ещё не реализовано); есть зависимость от алгоритмической видимости в поиске/GitHub для органического открытия продукта; данные пока не создают явного преимущества (нет накопленной обучающей выборки по AI-генерации)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Средневзвешенная оценка</w:t>
      </w:r>
      <w:r>
        <w:t xml:space="preserve">: (4+4+4+4+5+3) / 6 ≈ </w:t>
      </w:r>
      <w:r>
        <w:rPr>
          <w:b/>
          <w:bCs/>
        </w:rPr>
        <w:t xml:space="preserve">4,0 → высокое конкурентное давление</w:t>
      </w:r>
      <w:r>
        <w:t xml:space="preserve">, на границе с «очень высоким».</w:t>
      </w:r>
    </w:p>
    <w:p>
      <w:pPr>
        <w:pStyle w:val="Heading1"/>
        <w:spacing w:after="120" w:before="240"/>
      </w:pPr>
      <w:r>
        <w:t xml:space="preserve">2. Интерпретация по 2×2</w:t>
      </w:r>
    </w:p>
    <w:p>
      <w:pPr>
        <w:spacing w:after="120"/>
      </w:pPr>
      <w:r>
        <w:t xml:space="preserve">Рынок «диаграмма как код» — это </w:t>
      </w:r>
      <w:r>
        <w:rPr>
          <w:b/>
          <w:bCs/>
        </w:rPr>
        <w:t xml:space="preserve">высокая конкуренция + растущий спрос</w:t>
      </w:r>
      <w:r>
        <w:t xml:space="preserve"> (растущий спрос подтверждён в ЛР1 через тренд </w:t>
      </w:r>
      <w:r>
        <w:rPr>
          <w:rFonts w:ascii="Consolas" w:cs="Consolas" w:eastAsia="Consolas" w:hAnsi="Consolas"/>
        </w:rPr>
        <w:t xml:space="preserve">text to diagram</w:t>
      </w:r>
      <w:r>
        <w:t xml:space="preserve">). Согласно методике, это означает: рынок есть, но вход дорогой — нужно искать нишу, узкий сегмент и специализированное предложение, а не пытаться конкурировать по всему фронту сразу с PlantUML/Mermaid/Eraser.io.</w:t>
      </w:r>
    </w:p>
    <w:p>
      <w:pPr>
        <w:spacing w:after="120"/>
      </w:pPr>
      <w:r>
        <w:rPr>
          <w:b/>
          <w:bCs/>
        </w:rPr>
        <w:t xml:space="preserve">Практический вывод для DiagramCode</w:t>
      </w:r>
      <w:r>
        <w:t xml:space="preserve">: не конкурировать с PlantUML/Mermaid за «бесплатный DSL-рендер» (там уже стандарт рынка, воспроизвести бесплатно несложно) и не конкурировать с Eraser.io напрямую по фиче-листу (у них есть финансирование и зрелый продукт) — а занять нишу </w:t>
      </w:r>
      <w:r>
        <w:rPr>
          <w:b/>
          <w:bCs/>
        </w:rPr>
        <w:t xml:space="preserve">AI-генерация + git-подобное версионирование + весь набор инженерных нотаций (UML/ERD/IDEF/BPMN/сети Петри) в одном инструменте</w:t>
      </w:r>
      <w:r>
        <w:t xml:space="preserve">, которую по отдельности не закрывает ни один из перечисленных конкурентов полностью.</w:t>
      </w:r>
    </w:p>
    <w:p>
      <w:pPr>
        <w:pStyle w:val="Heading1"/>
        <w:spacing w:after="120" w:before="240"/>
      </w:pPr>
      <w:r>
        <w:t xml:space="preserve">3. Барьеры входа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Барьер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Как проявляется для DiagramCode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Оценка</w:t>
            </w:r>
          </w:p>
        </w:tc>
      </w:tr>
      <w:tr>
        <w:tc>
          <w:tcPr>
            <w:tcW w:type="dxa" w:w="3212"/>
          </w:tcPr>
          <w:p>
            <w:r>
              <w:t xml:space="preserve">Технологический</w:t>
            </w:r>
          </w:p>
        </w:tc>
        <w:tc>
          <w:tcPr>
            <w:tcW w:type="dxa" w:w="3212"/>
          </w:tcPr>
          <w:p>
            <w:r>
              <w:t xml:space="preserve">Собственная грамматика DSL (Lark), рендер-движки, AI-интеграция — уже реализовано в архитектуре, умеренная сложность</w:t>
            </w:r>
          </w:p>
        </w:tc>
        <w:tc>
          <w:tcPr>
            <w:tcW w:type="dxa" w:w="3212"/>
          </w:tcPr>
          <w:p>
            <w:r>
              <w:t xml:space="preserve">Средний</w:t>
            </w:r>
          </w:p>
        </w:tc>
      </w:tr>
      <w:tr>
        <w:tc>
          <w:tcPr>
            <w:tcW w:type="dxa" w:w="3212"/>
          </w:tcPr>
          <w:p>
            <w:r>
              <w:t xml:space="preserve">Контентный</w:t>
            </w:r>
          </w:p>
        </w:tc>
        <w:tc>
          <w:tcPr>
            <w:tcW w:type="dxa" w:w="3212"/>
          </w:tcPr>
          <w:p>
            <w:r>
              <w:t xml:space="preserve">Нужна документация по DSL для каждой нотации (13 макетов интерфейса, cheat sheet синтаксиса) — объём есть в проекте, но требует поддержки</w:t>
            </w:r>
          </w:p>
        </w:tc>
        <w:tc>
          <w:tcPr>
            <w:tcW w:type="dxa" w:w="3212"/>
          </w:tcPr>
          <w:p>
            <w:r>
              <w:t xml:space="preserve">Средний</w:t>
            </w:r>
          </w:p>
        </w:tc>
      </w:tr>
      <w:tr>
        <w:tc>
          <w:tcPr>
            <w:tcW w:type="dxa" w:w="3212"/>
          </w:tcPr>
          <w:p>
            <w:r>
              <w:t xml:space="preserve">Доверительный</w:t>
            </w:r>
          </w:p>
        </w:tc>
        <w:tc>
          <w:tcPr>
            <w:tcW w:type="dxa" w:w="3212"/>
          </w:tcPr>
          <w:p>
            <w:r>
              <w:t xml:space="preserve">Ноль отзывов/кейсов на старте — придётся строить доверие с нуля против PlantUML с многолетней репутацией</w:t>
            </w:r>
          </w:p>
        </w:tc>
        <w:tc>
          <w:tcPr>
            <w:tcW w:type="dxa" w:w="3212"/>
          </w:tcPr>
          <w:p>
            <w:r>
              <w:t xml:space="preserve">Высокий</w:t>
            </w:r>
          </w:p>
        </w:tc>
      </w:tr>
      <w:tr>
        <w:tc>
          <w:tcPr>
            <w:tcW w:type="dxa" w:w="3212"/>
          </w:tcPr>
          <w:p>
            <w:r>
              <w:t xml:space="preserve">Канальный</w:t>
            </w:r>
          </w:p>
        </w:tc>
        <w:tc>
          <w:tcPr>
            <w:tcW w:type="dxa" w:w="3212"/>
          </w:tcPr>
          <w:p>
            <w:r>
              <w:t xml:space="preserve">Органика через GitHub/поиск (см. ЛР1: растущий тренд «text to diagram») — недорогой канал на старте</w:t>
            </w:r>
          </w:p>
        </w:tc>
        <w:tc>
          <w:tcPr>
            <w:tcW w:type="dxa" w:w="3212"/>
          </w:tcPr>
          <w:p>
            <w:r>
              <w:t xml:space="preserve">Низкий-средний</w:t>
            </w:r>
          </w:p>
        </w:tc>
      </w:tr>
      <w:tr>
        <w:tc>
          <w:tcPr>
            <w:tcW w:type="dxa" w:w="3212"/>
          </w:tcPr>
          <w:p>
            <w:r>
              <w:t xml:space="preserve">Правовой</w:t>
            </w:r>
          </w:p>
        </w:tc>
        <w:tc>
          <w:tcPr>
            <w:tcW w:type="dxa" w:w="3212"/>
          </w:tcPr>
          <w:p>
            <w:r>
              <w:t xml:space="preserve">Обработка пользовательского кода/диаграмм, GDPR-подобные требования при росте на СНГ+ЕС аудиторию</w:t>
            </w:r>
          </w:p>
        </w:tc>
        <w:tc>
          <w:tcPr>
            <w:tcW w:type="dxa" w:w="3212"/>
          </w:tcPr>
          <w:p>
            <w:r>
              <w:t xml:space="preserve">Средний</w:t>
            </w:r>
          </w:p>
        </w:tc>
      </w:tr>
      <w:tr>
        <w:tc>
          <w:tcPr>
            <w:tcW w:type="dxa" w:w="3212"/>
          </w:tcPr>
          <w:p>
            <w:r>
              <w:t xml:space="preserve">Операционный</w:t>
            </w:r>
          </w:p>
        </w:tc>
        <w:tc>
          <w:tcPr>
            <w:tcW w:type="dxa" w:w="3212"/>
          </w:tcPr>
          <w:p>
            <w:r>
              <w:t xml:space="preserve">AI-квота (20 запросов/день по умолчанию — уже заложено в архитектуре), нагрузка на воркер-пул при росте</w:t>
            </w:r>
          </w:p>
        </w:tc>
        <w:tc>
          <w:tcPr>
            <w:tcW w:type="dxa" w:w="3212"/>
          </w:tcPr>
          <w:p>
            <w:r>
              <w:t xml:space="preserve">Средний</w:t>
            </w:r>
          </w:p>
        </w:tc>
      </w:tr>
      <w:tr>
        <w:tc>
          <w:tcPr>
            <w:tcW w:type="dxa" w:w="3212"/>
          </w:tcPr>
          <w:p>
            <w:r>
              <w:t xml:space="preserve">Финансовый</w:t>
            </w:r>
          </w:p>
        </w:tc>
        <w:tc>
          <w:tcPr>
            <w:tcW w:type="dxa" w:w="3212"/>
          </w:tcPr>
          <w:p>
            <w:r>
              <w:t xml:space="preserve">Затраты на LLM API растут с базой пользователей — прямая зависимость от юнит-экономики AI-режимов</w:t>
            </w:r>
          </w:p>
        </w:tc>
        <w:tc>
          <w:tcPr>
            <w:tcW w:type="dxa" w:w="3212"/>
          </w:tcPr>
          <w:p>
            <w:r>
              <w:t xml:space="preserve">Высокий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4. Барьеры выхода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Барьер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Оценка для DiagramCode</w:t>
            </w:r>
          </w:p>
        </w:tc>
      </w:tr>
      <w:tr>
        <w:tc>
          <w:tcPr>
            <w:tcW w:type="dxa" w:w="4819"/>
          </w:tcPr>
          <w:p>
            <w:r>
              <w:t xml:space="preserve">Финансовые обязательства</w:t>
            </w:r>
          </w:p>
        </w:tc>
        <w:tc>
          <w:tcPr>
            <w:tcW w:type="dxa" w:w="4819"/>
          </w:tcPr>
          <w:p>
            <w:r>
              <w:t xml:space="preserve">Низкие — инфраструктура на условно-бесплатных тарифах (Render/Netlify/Neon), нет долгосрочных контрактов</w:t>
            </w:r>
          </w:p>
        </w:tc>
      </w:tr>
      <w:tr>
        <w:tc>
          <w:tcPr>
            <w:tcW w:type="dxa" w:w="4819"/>
          </w:tcPr>
          <w:p>
            <w:r>
              <w:t xml:space="preserve">Репутационные</w:t>
            </w:r>
          </w:p>
        </w:tc>
        <w:tc>
          <w:tcPr>
            <w:tcW w:type="dxa" w:w="4819"/>
          </w:tcPr>
          <w:p>
            <w:r>
              <w:t xml:space="preserve">Низкие на раннем этапе (мало пользователей = меньше репутационный риск при закрытии)</w:t>
            </w:r>
          </w:p>
        </w:tc>
      </w:tr>
      <w:tr>
        <w:tc>
          <w:tcPr>
            <w:tcW w:type="dxa" w:w="4819"/>
          </w:tcPr>
          <w:p>
            <w:r>
              <w:t xml:space="preserve">Техническая зависимость</w:t>
            </w:r>
          </w:p>
        </w:tc>
        <w:tc>
          <w:tcPr>
            <w:tcW w:type="dxa" w:w="4819"/>
          </w:tcPr>
          <w:p>
            <w:r>
              <w:t xml:space="preserve">Средняя — DSL-грамматика, парсер и модели переиспользуемы в других контекстах (открытая архитектура плагинов нотаций)</w:t>
            </w:r>
          </w:p>
        </w:tc>
      </w:tr>
      <w:tr>
        <w:tc>
          <w:tcPr>
            <w:tcW w:type="dxa" w:w="4819"/>
          </w:tcPr>
          <w:p>
            <w:r>
              <w:t xml:space="preserve">Данные пользователей</w:t>
            </w:r>
          </w:p>
        </w:tc>
        <w:tc>
          <w:tcPr>
            <w:tcW w:type="dxa" w:w="4819"/>
          </w:tcPr>
          <w:p>
            <w:r>
              <w:t xml:space="preserve">Средняя — версии диаграмм пользователей нужно будет либо экспортировать, либо гарантированно удалить при остановке проекта</w:t>
            </w:r>
          </w:p>
        </w:tc>
      </w:tr>
      <w:tr>
        <w:tc>
          <w:tcPr>
            <w:tcW w:type="dxa" w:w="4819"/>
          </w:tcPr>
          <w:p>
            <w:r>
              <w:t xml:space="preserve">Командная нагрузка</w:t>
            </w:r>
          </w:p>
        </w:tc>
        <w:tc>
          <w:tcPr>
            <w:tcW w:type="dxa" w:w="4819"/>
          </w:tcPr>
          <w:p>
            <w:r>
              <w:t xml:space="preserve">Низкая на этапе одного разработчика/курсовой работы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Вывод</w:t>
      </w:r>
      <w:r>
        <w:t xml:space="preserve">: барьеры выхода низкие — решение о старте достаточно обратимо, что снижает риск эксперимента с запуском.</w:t>
      </w:r>
    </w:p>
    <w:p>
      <w:pPr>
        <w:pStyle w:val="Heading1"/>
        <w:spacing w:after="120" w:before="240"/>
      </w:pPr>
      <w:r>
        <w:t xml:space="preserve">5. Итоговая формулировка</w:t>
      </w:r>
    </w:p>
    <w:p>
      <w:pPr>
        <w:spacing w:after="120"/>
      </w:pPr>
      <w:r>
        <w:t xml:space="preserve">Адаптированный анализ пяти сил Портера показывает, что конкурентная среда рынка «диаграмма как код» определяется прежде всего высокой силой покупателей (лёгкость сравнения с бесплатными PlantUML/Mermaid) и очень высокой угрозой заменителей (визуальные редакторы, ручная работа). Наиболее значимым источником давления является не столько число прямых конкурентов, сколько доступность бесплатных альтернатив с нулевой стоимостью переключения. Привлекательность рынка оценивается как умеренная при условии узкой специализации: DiagramCode может закрепиться, если позиционируется не как «ещё один DSL-рендерер», а как единственный инструмент, сочетающий полный охват инженерных нотаций, git-подобное версионирование и AI-генерацию в одном продукте — то есть там, где сумма фич конкурентов по отдельности не закрывает потребность полностью.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2026-09-17T20:12:14.447Z</dcterms:created>
  <dcterms:modified xsi:type="dcterms:W3CDTF">2026-09-17T20:12:14.448Z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