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ЛР2-3. Оценка объёма рынка</w:t>
      </w:r>
    </w:p>
    <w:p>
      <w:pPr>
        <w:spacing w:after="120"/>
      </w:pPr>
      <w:r>
        <w:t xml:space="preserve">Объект анализа: </w:t>
      </w:r>
      <w:r>
        <w:rPr>
          <w:b/>
          <w:bCs/>
        </w:rPr>
        <w:t xml:space="preserve">DiagramCode</w:t>
      </w:r>
      <w:r>
        <w:t xml:space="preserve">. ЛР2 и ЛР3 в комплекте методичек курса совпадают дословно (один и тот же набор методик оценки рынка электронного бизнеса) — выполняются как единая работа, см. примечание в </w:t>
      </w:r>
      <w:r>
        <w:rPr>
          <w:rFonts w:ascii="Consolas" w:cs="Consolas" w:eastAsia="Consolas" w:hAnsi="Consolas"/>
        </w:rPr>
        <w:t xml:space="preserve">README.md</w:t>
      </w:r>
      <w:r>
        <w:t xml:space="preserve"> репозитория.</w:t>
      </w:r>
    </w:p>
    <w:p>
      <w:pPr>
        <w:pStyle w:val="Heading1"/>
        <w:spacing w:after="120" w:before="240"/>
      </w:pPr>
      <w:r>
        <w:t xml:space="preserve">1. Границы рынка (перенесены из ЛР1)</w:t>
      </w:r>
    </w:p>
    <w:p>
      <w:pPr>
        <w:spacing w:after="120"/>
      </w:pPr>
      <w:r>
        <w:t xml:space="preserve">Продукт: инструменты создания/версионирования диаграмм через DSL с AI-генерацией. Клиент: команды разработки, техписатели, аналитики. География старта: русскоязычное IT-сообщество (Беларусь + СНГ). Канал: поиск, GitHub/GitLab, сообщества разработчиков.</w:t>
      </w:r>
    </w:p>
    <w:p>
      <w:pPr>
        <w:pStyle w:val="Heading1"/>
        <w:spacing w:after="120" w:before="240"/>
      </w:pPr>
      <w:r>
        <w:t xml:space="preserve">2. Данные SimilarWeb (реальные, бесплатный доступ, снято 2026-09-17)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Домен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Оценка визитов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Global Rank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Топ-страна трафика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1927"/>
          </w:tcPr>
          <w:p>
            <w:r>
              <w:t xml:space="preserve">plantuml.com</w:t>
            </w:r>
          </w:p>
        </w:tc>
        <w:tc>
          <w:tcPr>
            <w:tcW w:type="dxa" w:w="1927"/>
          </w:tcPr>
          <w:p>
            <w:r>
              <w:t xml:space="preserve">~507 тыс. визитов (посл. отчётный период)</w:t>
            </w:r>
          </w:p>
        </w:tc>
        <w:tc>
          <w:tcPr>
            <w:tcW w:type="dxa" w:w="1927"/>
          </w:tcPr>
          <w:p>
            <w:r>
              <w:t xml:space="preserve">#93 517 (упал с #74 025 за 3 месяца)</w:t>
            </w:r>
          </w:p>
        </w:tc>
        <w:tc>
          <w:tcPr>
            <w:tcW w:type="dxa" w:w="1927"/>
          </w:tcPr>
          <w:p>
            <w:r>
              <w:rPr>
                <w:b/>
                <w:bCs/>
              </w:rPr>
              <w:t xml:space="preserve">Россия — 9,07 %</w:t>
            </w:r>
            <w:r>
              <w:t xml:space="preserve"> трафика (лидер среди стран)</w:t>
            </w:r>
          </w:p>
        </w:tc>
        <w:tc>
          <w:tcPr>
            <w:tcW w:type="dxa" w:w="1927"/>
          </w:tcPr>
          <w:p>
            <w:r>
              <w:t xml:space="preserve">Прямой аналог DiagramCode по типу (DSL-рендерер). Трафик за месяц упал на 27,81 % — короткий ряд, не делать вывод о структурном спаде без повторной проверки</w:t>
            </w:r>
          </w:p>
        </w:tc>
      </w:tr>
      <w:tr>
        <w:tc>
          <w:tcPr>
            <w:tcW w:type="dxa" w:w="1927"/>
          </w:tcPr>
          <w:p>
            <w:r>
              <w:t xml:space="preserve">mermaidchart.com (платный продукт Mermaid)</w:t>
            </w:r>
          </w:p>
        </w:tc>
        <w:tc>
          <w:tcPr>
            <w:tcW w:type="dxa" w:w="1927"/>
          </w:tcPr>
          <w:p>
            <w:r>
              <w:t xml:space="preserve">&lt; 20 тыс. визитов</w:t>
            </w:r>
          </w:p>
        </w:tc>
        <w:tc>
          <w:tcPr>
            <w:tcW w:type="dxa" w:w="1927"/>
          </w:tcPr>
          <w:p>
            <w:r>
              <w:t xml:space="preserve">Global rank не определён (мало данных)</w:t>
            </w:r>
          </w:p>
        </w:tc>
        <w:tc>
          <w:tcPr>
            <w:tcW w:type="dxa" w:w="1927"/>
          </w:tcPr>
          <w:p>
            <w:r>
              <w:t xml:space="preserve">Вьетнам 44,98 %, Индонезия 26,27 %, США 15,1 %</w:t>
            </w:r>
          </w:p>
        </w:tc>
        <w:tc>
          <w:tcPr>
            <w:tcW w:type="dxa" w:w="1927"/>
          </w:tcPr>
          <w:p>
            <w:r>
              <w:t xml:space="preserve">Коммерческий (платный) продукт Mermaid почти не представлен в русскоязычном сегменте — потенциальный незанятый разрыв именно там, где по ЛР1 сосредоточен наш стартовый рынок</w:t>
            </w:r>
          </w:p>
        </w:tc>
      </w:tr>
      <w:tr>
        <w:tc>
          <w:tcPr>
            <w:tcW w:type="dxa" w:w="1927"/>
          </w:tcPr>
          <w:p>
            <w:r>
              <w:t xml:space="preserve">eraser.io, app.diagrams.net (drawio)</w:t>
            </w:r>
          </w:p>
        </w:tc>
        <w:tc>
          <w:tcPr>
            <w:tcW w:type="dxa" w:w="1927"/>
          </w:tcPr>
          <w:p>
            <w:r>
              <w:rPr>
                <w:b/>
                <w:bCs/>
              </w:rPr>
              <w:t xml:space="preserve">нет данных</w:t>
            </w:r>
          </w:p>
        </w:tc>
        <w:tc>
          <w:tcPr>
            <w:tcW w:type="dxa" w:w="1927"/>
          </w:tcPr>
          <w:p>
            <w:r>
              <w:t xml:space="preserve">—</w:t>
            </w:r>
          </w:p>
        </w:tc>
        <w:tc>
          <w:tcPr>
            <w:tcW w:type="dxa" w:w="1927"/>
          </w:tcPr>
          <w:p>
            <w:r>
              <w:t xml:space="preserve">—</w:t>
            </w:r>
          </w:p>
        </w:tc>
        <w:tc>
          <w:tcPr>
            <w:tcW w:type="dxa" w:w="1927"/>
          </w:tcPr>
          <w:p>
            <w:r>
              <w:t xml:space="preserve">Бесплатный тариф SimilarWeb исчерпал лимит запросов после 2 доменов в рамках одной сессии — честно зафиксировано как ограничение метода (см. раздел 6)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Фиксация параметров выгрузки</w:t>
      </w:r>
      <w:r>
        <w:t xml:space="preserve"> (обязательна по методике): дата обращения — 2026-09-17; инструмент — similarweb.com, бесплатный веб-доступ без регистрации/подписки; период — «последние 3 месяца» (окно, которое SimilarWeb показывает по умолчанию на бесплatном тарифе); география — не фильтровалась (глобальные данные с разбивкой по странам).</w:t>
      </w:r>
    </w:p>
    <w:p>
      <w:pPr>
        <w:spacing w:after="120"/>
      </w:pPr>
      <w:r>
        <w:rPr>
          <w:b/>
          <w:bCs/>
        </w:rPr>
        <w:t xml:space="preserve">Важное методическое ограничение, специфичное для этого рынка</w:t>
      </w:r>
      <w:r>
        <w:t xml:space="preserve">: сайт-трафик plantuml.com — очень грубая нижняя оценка реальной аудитории PlantUML, потому что подавляющее большинство пользователей рендерят PlantUML-диаграммы локально — через плагины IDE (IntelliJ, VS Code), CLI (jar-файл), CI/CD-пайплайны — не заходя на сайт вообще. Реальная база пользователей категории «diagram as code» кратно больше 507 тыс. визитов/период — этот показатель годится только для сравнения относительной популярности инструментов друг с другом, а не как абсолютная оценка размера рынка.</w:t>
      </w:r>
    </w:p>
    <w:p>
      <w:pPr>
        <w:pStyle w:val="Heading1"/>
        <w:spacing w:after="120" w:before="240"/>
      </w:pPr>
      <w:r>
        <w:t xml:space="preserve">3. Данные о потенциальных клиентах (реальный источник)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Показатель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</w:tr>
      <w:tr>
        <w:tc>
          <w:tcPr>
            <w:tcW w:type="dxa" w:w="3212"/>
          </w:tcPr>
          <w:p>
            <w:r>
              <w:t xml:space="preserve">Компании, зарегистрированные в Парке высоких технологий (ПВТ) Беларуси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более 1000</w:t>
            </w:r>
            <w:r>
              <w:t xml:space="preserve">, из них свыше 40 % — с иностранным капиталом</w:t>
            </w:r>
          </w:p>
        </w:tc>
        <w:tc>
          <w:tcPr>
            <w:tcW w:type="dxa" w:w="3212"/>
          </w:tcPr>
          <w:p>
            <w:r>
              <w:t xml:space="preserve">opencompanyinbelarus.com, «Belarus IT Industry in 2026», данные на 2025-2026</w:t>
            </w:r>
          </w:p>
        </w:tc>
      </w:tr>
      <w:tr>
        <w:tc>
          <w:tcPr>
            <w:tcW w:type="dxa" w:w="3212"/>
          </w:tcPr>
          <w:p>
            <w:r>
              <w:t xml:space="preserve">Доля ИТ в ВВП Беларуси</w:t>
            </w:r>
          </w:p>
        </w:tc>
        <w:tc>
          <w:tcPr>
            <w:tcW w:type="dxa" w:w="3212"/>
          </w:tcPr>
          <w:p>
            <w:r>
              <w:t xml:space="preserve">6,1 % (данные за I кв. 2025)</w:t>
            </w:r>
          </w:p>
        </w:tc>
        <w:tc>
          <w:tcPr>
            <w:tcW w:type="dxa" w:w="3212"/>
          </w:tcPr>
          <w:p>
            <w:r>
              <w:t xml:space="preserve">тот же источник</w:t>
            </w:r>
          </w:p>
        </w:tc>
      </w:tr>
      <w:tr>
        <w:tc>
          <w:tcPr>
            <w:tcW w:type="dxa" w:w="3212"/>
          </w:tcPr>
          <w:p>
            <w:r>
              <w:t xml:space="preserve">Выпускников ИТ-специальностей с высшим образованием в год</w:t>
            </w:r>
          </w:p>
        </w:tc>
        <w:tc>
          <w:tcPr>
            <w:tcW w:type="dxa" w:w="3212"/>
          </w:tcPr>
          <w:p>
            <w:r>
              <w:t xml:space="preserve">~7000 (21 вуз)</w:t>
            </w:r>
          </w:p>
        </w:tc>
        <w:tc>
          <w:tcPr>
            <w:tcW w:type="dxa" w:w="3212"/>
          </w:tcPr>
          <w:p>
            <w:r>
              <w:t xml:space="preserve">belarus.by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ПВТ-компании выбраны как основа расчёта «снизу вверх», поскольку это самый формализованный, ИТ-концентрированный и статистически учитываемый сегмент целевого рынка старта — внутри него выше всего доля команд, которые уже документируют архитектуру и хранят её в git.</w:t>
      </w:r>
    </w:p>
    <w:p>
      <w:pPr>
        <w:pStyle w:val="Heading1"/>
        <w:spacing w:after="120" w:before="240"/>
      </w:pPr>
      <w:r>
        <w:t xml:space="preserve">4. Реальный ценовой бенчмарк конкурента (Eraser.io, снято 2026-09-17)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Тариф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Цена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Лимит AI-диаграмм</w:t>
            </w:r>
          </w:p>
        </w:tc>
      </w:tr>
      <w:tr>
        <w:tc>
          <w:tcPr>
            <w:tcW w:type="dxa" w:w="3212"/>
          </w:tcPr>
          <w:p>
            <w:r>
              <w:t xml:space="preserve">Free</w:t>
            </w:r>
          </w:p>
        </w:tc>
        <w:tc>
          <w:tcPr>
            <w:tcW w:type="dxa" w:w="3212"/>
          </w:tcPr>
          <w:p>
            <w:r>
              <w:t xml:space="preserve">$0/участник/мес</w:t>
            </w:r>
          </w:p>
        </w:tc>
        <w:tc>
          <w:tcPr>
            <w:tcW w:type="dxa" w:w="3212"/>
          </w:tcPr>
          <w:p>
            <w:r>
              <w:t xml:space="preserve">3 AI-диаграммы</w:t>
            </w:r>
          </w:p>
        </w:tc>
      </w:tr>
      <w:tr>
        <w:tc>
          <w:tcPr>
            <w:tcW w:type="dxa" w:w="3212"/>
          </w:tcPr>
          <w:p>
            <w:r>
              <w:t xml:space="preserve">Starter</w:t>
            </w:r>
          </w:p>
        </w:tc>
        <w:tc>
          <w:tcPr>
            <w:tcW w:type="dxa" w:w="3212"/>
          </w:tcPr>
          <w:p>
            <w:r>
              <w:t xml:space="preserve">$15/участник/мес (год) или $20/мес</w:t>
            </w:r>
          </w:p>
        </w:tc>
        <w:tc>
          <w:tcPr>
            <w:tcW w:type="dxa" w:w="3212"/>
          </w:tcPr>
          <w:p>
            <w:r>
              <w:t xml:space="preserve">40 AI-диаграмм</w:t>
            </w:r>
          </w:p>
        </w:tc>
      </w:tr>
      <w:tr>
        <w:tc>
          <w:tcPr>
            <w:tcW w:type="dxa" w:w="3212"/>
          </w:tcPr>
          <w:p>
            <w:r>
              <w:t xml:space="preserve">Business</w:t>
            </w:r>
          </w:p>
        </w:tc>
        <w:tc>
          <w:tcPr>
            <w:tcW w:type="dxa" w:w="3212"/>
          </w:tcPr>
          <w:p>
            <w:r>
              <w:t xml:space="preserve">$45/участник/мес (год) или $60/мес</w:t>
            </w:r>
          </w:p>
        </w:tc>
        <w:tc>
          <w:tcPr>
            <w:tcW w:type="dxa" w:w="3212"/>
          </w:tcPr>
          <w:p>
            <w:r>
              <w:t xml:space="preserve">250 AI-диаграмм</w:t>
            </w:r>
          </w:p>
        </w:tc>
      </w:tr>
      <w:tr>
        <w:tc>
          <w:tcPr>
            <w:tcW w:type="dxa" w:w="3212"/>
          </w:tcPr>
          <w:p>
            <w:r>
              <w:t xml:space="preserve">Enterprise</w:t>
            </w:r>
          </w:p>
        </w:tc>
        <w:tc>
          <w:tcPr>
            <w:tcW w:type="dxa" w:w="3212"/>
          </w:tcPr>
          <w:p>
            <w:r>
              <w:t xml:space="preserve">по запросу</w:t>
            </w:r>
          </w:p>
        </w:tc>
        <w:tc>
          <w:tcPr>
            <w:tcW w:type="dxa" w:w="3212"/>
          </w:tcPr>
          <w:p>
            <w:r>
              <w:t xml:space="preserve">без лимита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Допущение для расчёта DiagramCode</w:t>
      </w:r>
      <w:r>
        <w:t xml:space="preserve"> *(на вашу проверку — заменить реальными цифрами, если решение принято)*: старт с тарифной сеткой, близкой к Eraser.io Starter, но дешевле для СНГ-рынка — условно </w:t>
      </w:r>
      <w:r>
        <w:rPr>
          <w:b/>
          <w:bCs/>
        </w:rPr>
        <w:t xml:space="preserve">$8/участник/мес</w:t>
      </w:r>
      <w:r>
        <w:t xml:space="preserve"> при среднем размере команды-адептера 5 человек ⇒ </w:t>
      </w:r>
      <w:r>
        <w:rPr>
          <w:b/>
          <w:bCs/>
        </w:rPr>
        <w:t xml:space="preserve">$40/мес = $480/год на одну платящую компанию</w:t>
      </w:r>
      <w:r>
        <w:t xml:space="preserve">.</w:t>
      </w:r>
    </w:p>
    <w:p>
      <w:pPr>
        <w:pStyle w:val="Heading1"/>
        <w:spacing w:after="120" w:before="240"/>
      </w:pPr>
      <w:r>
        <w:t xml:space="preserve">5. Расчёт «сверху вниз» (top-down)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Объём рынка = ПВТ-компании × доля с трафиком/интересом к diagram-as-code × доля готовых платить × средний чек/год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       = 1000 × 0,30 (допущение: доля компаний, чьи команды уже искали/использовали diagram-as-code инструменты,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ориентир — доля России в трафике plantuml.com среди стран-лидеров ~9%, для Беларуси как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более узкого IT-хаба берём выше — 30%, допущение на проверку)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       × 0,15 (доля готовых платить за AI-надстройку, а не остаться на бесплatном PlantUML/Mermaid — допущение)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       × $480/год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       = 1000 × 0,30 × 0,15 × 480 ≈ $21 600/год (верхняя ориентировочная оценка для сегмента ПВТ Беларуси)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6. Расчёт «снизу вверх» (bottom-up) — через количество потенциальных клиентов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Платежеспособный рынок = число компаний в сегменте × доля нуждающихся × доля готовых покупать онлайн × средний годовой чек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= 1000 × 0,60 (допущение: доля компаний, ведущих техдокументацию с диаграммами)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× 0,10 (доля готовых платить именно за AI-инструмент, а не бесплатную альтернативу)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× $480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= 1000 × 0,60 × 0,10 × 480 = $28 800/год</w:t>
      </w:r>
    </w:p>
    <w:p>
      <w:pPr>
        <w:spacing w:after="100"/>
      </w:pPr>
    </w:p>
    <w:p>
      <w:pPr>
        <w:spacing w:after="120"/>
      </w:pPr>
      <w:r>
        <w:t xml:space="preserve">Оба метода («сверху вниз» и «снизу вверх») дают близкий порядок величины ($21,6К - $28,8К/год для стартового сегмента ПВТ Беларуси) — это хороший признак согласованности расчёта по правилам методики (раздел 11 инструкции ЛР2: «если методики сильно расходятся — проверить коэффициенты сужения»).</w:t>
      </w:r>
    </w:p>
    <w:p>
      <w:pPr>
        <w:pStyle w:val="Heading1"/>
        <w:spacing w:after="120" w:before="240"/>
      </w:pPr>
      <w:r>
        <w:t xml:space="preserve">7. Оценка через цифровую воронку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Выручка = охват (посетители блога/документации DiagramCode + органический поиск по семантическому ядру ЛР1)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   × доля переходов на сайт (допущение 20%)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   × конверсия в регистрацию (допущение 8%, ориентир по индустрии для dev-tools)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   × конверсия в оплату (допущение 5%, консервативно из-за сильных бесплатных альтернатив — PlantUML/Mermaid бесплатны)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   × средний чек $480/год</w:t>
      </w:r>
    </w:p>
    <w:p>
      <w:pPr>
        <w:spacing w:after="100"/>
      </w:pPr>
    </w:p>
    <w:p>
      <w:pPr>
        <w:spacing w:after="120"/>
      </w:pPr>
      <w:r>
        <w:t xml:space="preserve">Без готового трафика сайта DiagramCode (продукт ещё не запущен) этот расчёт пока не даёт числа — он используется после первого релиза как инструмент проверки факта, а не прогноза (см. общий принцип методики: воронка — расчёт по фактическим данным, а не по гипотетическому трафику).</w:t>
      </w:r>
    </w:p>
    <w:p>
      <w:pPr>
        <w:pStyle w:val="Heading1"/>
        <w:spacing w:after="120" w:before="240"/>
      </w:pPr>
      <w:r>
        <w:t xml:space="preserve">8. Сценарная оценка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Сценарий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Логика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Годовая выручка (сегмент ПВТ Беларуси, 1-й год)</w:t>
            </w:r>
          </w:p>
        </w:tc>
      </w:tr>
      <w:tr>
        <w:tc>
          <w:tcPr>
            <w:tcW w:type="dxa" w:w="3212"/>
          </w:tcPr>
          <w:p>
            <w:r>
              <w:t xml:space="preserve">Осторожный</w:t>
            </w:r>
          </w:p>
        </w:tc>
        <w:tc>
          <w:tcPr>
            <w:tcW w:type="dxa" w:w="3212"/>
          </w:tcPr>
          <w:p>
            <w:r>
              <w:t xml:space="preserve">Низкая конверсия (5%), низкая доля нуждающихся (40%), $8/мес</w:t>
            </w:r>
          </w:p>
        </w:tc>
        <w:tc>
          <w:tcPr>
            <w:tcW w:type="dxa" w:w="3212"/>
          </w:tcPr>
          <w:p>
            <w:r>
              <w:t xml:space="preserve">≈ $15 000</w:t>
            </w:r>
          </w:p>
        </w:tc>
      </w:tr>
      <w:tr>
        <w:tc>
          <w:tcPr>
            <w:tcW w:type="dxa" w:w="3212"/>
          </w:tcPr>
          <w:p>
            <w:r>
              <w:t xml:space="preserve">Базовый</w:t>
            </w:r>
          </w:p>
        </w:tc>
        <w:tc>
          <w:tcPr>
            <w:tcW w:type="dxa" w:w="3212"/>
          </w:tcPr>
          <w:p>
            <w:r>
              <w:t xml:space="preserve">Средние значения (см. разделы 5-6)</w:t>
            </w:r>
          </w:p>
        </w:tc>
        <w:tc>
          <w:tcPr>
            <w:tcW w:type="dxa" w:w="3212"/>
          </w:tcPr>
          <w:p>
            <w:r>
              <w:t xml:space="preserve">≈ $22 000–29 000</w:t>
            </w:r>
          </w:p>
        </w:tc>
      </w:tr>
      <w:tr>
        <w:tc>
          <w:tcPr>
            <w:tcW w:type="dxa" w:w="3212"/>
          </w:tcPr>
          <w:p>
            <w:r>
              <w:t xml:space="preserve">Оптимистичный</w:t>
            </w:r>
          </w:p>
        </w:tc>
        <w:tc>
          <w:tcPr>
            <w:tcW w:type="dxa" w:w="3212"/>
          </w:tcPr>
          <w:p>
            <w:r>
              <w:t xml:space="preserve">Высокая доля нуждающихся (70%), выше конверсия в оплату (20%), расширение на СНГ (не только Беларусь) ×5</w:t>
            </w:r>
          </w:p>
        </w:tc>
        <w:tc>
          <w:tcPr>
            <w:tcW w:type="dxa" w:w="3212"/>
          </w:tcPr>
          <w:p>
            <w:r>
              <w:t xml:space="preserve">≈ $150 000+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9. Проверка платежеспособности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Проверяется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Вывод</w:t>
            </w:r>
          </w:p>
        </w:tc>
      </w:tr>
      <w:tr>
        <w:tc>
          <w:tcPr>
            <w:tcW w:type="dxa" w:w="4819"/>
          </w:tcPr>
          <w:p>
            <w:r>
              <w:t xml:space="preserve">Ценовой коридор</w:t>
            </w:r>
          </w:p>
        </w:tc>
        <w:tc>
          <w:tcPr>
            <w:tcW w:type="dxa" w:w="4819"/>
          </w:tcPr>
          <w:p>
            <w:r>
              <w:t xml:space="preserve">$8-20/участник/мес попадает в диапазон между бесплatными PlantUML/Mermaid ($0) и premium Eraser.io Business ($45-60) — реалистичная ниша «дешевле enterprise-инструмента, но с AI поверх бесплатного DSL»</w:t>
            </w:r>
          </w:p>
        </w:tc>
      </w:tr>
      <w:tr>
        <w:tc>
          <w:tcPr>
            <w:tcW w:type="dxa" w:w="4819"/>
          </w:tcPr>
          <w:p>
            <w:r>
              <w:t xml:space="preserve">Бюджет клиента</w:t>
            </w:r>
          </w:p>
        </w:tc>
        <w:tc>
          <w:tcPr>
            <w:tcW w:type="dxa" w:w="4819"/>
          </w:tcPr>
          <w:p>
            <w:r>
              <w:t xml:space="preserve">ИТ-компании ПВТ — экспортно ориентированный сектор (доля ИТ в ВВП 6,1%), бюджет на dev-tools закладывается стандартно</w:t>
            </w:r>
          </w:p>
        </w:tc>
      </w:tr>
      <w:tr>
        <w:tc>
          <w:tcPr>
            <w:tcW w:type="dxa" w:w="4819"/>
          </w:tcPr>
          <w:p>
            <w:r>
              <w:t xml:space="preserve">Экономическая оправданность</w:t>
            </w:r>
          </w:p>
        </w:tc>
        <w:tc>
          <w:tcPr>
            <w:tcW w:type="dxa" w:w="4819"/>
          </w:tcPr>
          <w:p>
            <w:r>
              <w:t xml:space="preserve">Экономия времени на ручное рисование диаграмм + версионирование как код — измеримая выгода для команд, уже практикующих code review/git-flow</w:t>
            </w:r>
          </w:p>
        </w:tc>
      </w:tr>
      <w:tr>
        <w:tc>
          <w:tcPr>
            <w:tcW w:type="dxa" w:w="4819"/>
          </w:tcPr>
          <w:p>
            <w:r>
              <w:t xml:space="preserve">Цифровая активность</w:t>
            </w:r>
          </w:p>
        </w:tc>
        <w:tc>
          <w:tcPr>
            <w:tcW w:type="dxa" w:w="4819"/>
          </w:tcPr>
          <w:p>
            <w:r>
              <w:t xml:space="preserve">Подтверждена в ЛР1 (растущий поисковый интерес к «text to diagram») и здесь (Россия — топ-страна трафика ближайшего аналога plantuml.com)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10. Итоговый вывод</w:t>
      </w:r>
    </w:p>
    <w:p>
      <w:pPr>
        <w:spacing w:after="120"/>
      </w:pPr>
      <w:r>
        <w:t xml:space="preserve">Рынок был определён как русскоязычные IT-компании (стартовая база — зарегистрированные в ПВТ Беларуси, более 1000 компаний), которым нужен DSL-инструмент для диаграмм с AI-генерацией. Поисковый спрос (ЛР1) и данные SimilarWeb по ближайшему прямому аналогу (plantuml.com, Россия — топ-страна трафика) подтверждают наличие цифровой активности в сегменте. Расчёт «сверху вниз» и «снизу вверх» дают согласованный диапазон </w:t>
      </w:r>
      <w:r>
        <w:rPr>
          <w:b/>
          <w:bCs/>
        </w:rPr>
        <w:t xml:space="preserve">$15 000–29 000/год</w:t>
      </w:r>
      <w:r>
        <w:t xml:space="preserve"> в базовом и осторожном сценарии для стартового сегмента ПВТ Беларуси, с потенциалом кратного роста при расширении на СНГ (оптимистичный сценарий). Расчёт требует дальнейшей проверки через прямой опрос потенциальных клиентов и тестовые продажи после запуска первого релиза.</w:t>
      </w:r>
    </w:p>
    <w:p>
      <w:pPr>
        <w:pStyle w:val="Heading1"/>
        <w:spacing w:after="120" w:before="240"/>
      </w:pPr>
      <w:r>
        <w:t xml:space="preserve">11. Ограничения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SimilarWeb на бесплатном тарифе дал полные данные только по 2 доменам из 4 запланированных (eraser.io и app.diagrams.net — «лимит запросов исчерпан»); эти два — важные конкуренты, для полной картины нужен платный доступ или запрос в другой день/с другого аккаунта.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Трафик сайта plantuml.com системно недооценивает реальную базу пользователей (локальный рендеринг через IDE-плагины не отслеживается веб-аналитикой).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Все коэффициенты сужения (доля нуждающихся, доля готовых платить, конверсии) — экспертные допущения, а не измеренные величины; помечены явно и подлежат проверке.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Цена DiagramCode ($8/участник/мес) — рабочее допущение по аналогии с рынком, не подтверждённое решение о прайсинге.</w:t>
      </w:r>
    </w:p>
    <w:p>
      <w:pPr>
        <w:pStyle w:val="Heading1"/>
        <w:spacing w:after="120" w:before="240"/>
      </w:pPr>
      <w:r>
        <w:t xml:space="preserve">12. Что нужно доснять самой (если хотите более точный расчёт)</w:t>
      </w:r>
    </w:p>
    <w:p>
      <w:pPr>
        <w:spacing w:after="120"/>
      </w:pPr>
      <w:r>
        <w:rPr>
          <w:b/>
          <w:bCs/>
        </w:rPr>
        <w:t xml:space="preserve">Что снять</w:t>
      </w:r>
      <w:r>
        <w:t xml:space="preserve">: данные SimilarWeb по </w:t>
      </w:r>
      <w:r>
        <w:rPr>
          <w:rFonts w:ascii="Consolas" w:cs="Consolas" w:eastAsia="Consolas" w:hAnsi="Consolas"/>
        </w:rPr>
        <w:t xml:space="preserve">eraser.io</w:t>
      </w:r>
      <w:r>
        <w:t xml:space="preserve"> и </w:t>
      </w:r>
      <w:r>
        <w:rPr>
          <w:rFonts w:ascii="Consolas" w:cs="Consolas" w:eastAsia="Consolas" w:hAnsi="Consolas"/>
        </w:rPr>
        <w:t xml:space="preserve">app.diagrams.net</w:t>
      </w:r>
      <w:r>
        <w:t xml:space="preserve"> (лимит бесплатного доступа исчерпан с этого браузера/IP).</w:t>
      </w:r>
    </w:p>
    <w:p>
      <w:pPr>
        <w:spacing w:after="120"/>
      </w:pPr>
      <w:r>
        <w:rPr>
          <w:b/>
          <w:bCs/>
        </w:rPr>
        <w:t xml:space="preserve">Как снять</w:t>
      </w:r>
      <w:r>
        <w:t xml:space="preserve">: 1. Открыть [similarweb.com/website/eraser.io](https://www.similarweb.com/website/eraser.io/) с другого браузера/устройства или через день, когда лимит бесплатных запросов обновится. 2. Сделать скриншот блока «Total Visits», «Global Rank», «Top Countries». 3. Повторить для </w:t>
      </w:r>
      <w:r>
        <w:rPr>
          <w:rFonts w:ascii="Consolas" w:cs="Consolas" w:eastAsia="Consolas" w:hAnsi="Consolas"/>
        </w:rPr>
        <w:t xml:space="preserve">app.diagrams.net</w:t>
      </w:r>
      <w:r>
        <w:t xml:space="preserve">. 4. Сохранить в </w:t>
      </w:r>
      <w:r>
        <w:rPr>
          <w:rFonts w:ascii="Consolas" w:cs="Consolas" w:eastAsia="Consolas" w:hAnsi="Consolas"/>
        </w:rPr>
        <w:t xml:space="preserve">labs/lab2-3-market-size/screenshots/</w:t>
      </w:r>
      <w:r>
        <w:t xml:space="preserve"> с именем </w:t>
      </w:r>
      <w:r>
        <w:rPr>
          <w:rFonts w:ascii="Consolas" w:cs="Consolas" w:eastAsia="Consolas" w:hAnsi="Consolas"/>
        </w:rPr>
        <w:t xml:space="preserve">similarweb_eraser.png</w:t>
      </w:r>
      <w:r>
        <w:t xml:space="preserve">, </w:t>
      </w:r>
      <w:r>
        <w:rPr>
          <w:rFonts w:ascii="Consolas" w:cs="Consolas" w:eastAsia="Consolas" w:hAnsi="Consolas"/>
        </w:rPr>
        <w:t xml:space="preserve">similarweb_drawio.png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Подпись</w:t>
      </w:r>
      <w:r>
        <w:t xml:space="preserve">: «Рисунок 2.N — Трафик и география </w:t>
      </w:r>
      <w:r>
        <w:rPr>
          <w:rFonts w:ascii="Consolas" w:cs="Consolas" w:eastAsia="Consolas" w:hAnsi="Consolas"/>
        </w:rPr>
        <w:t xml:space="preserve">&lt;домен&gt;</w:t>
      </w:r>
      <w:r>
        <w:t xml:space="preserve"> по данным SimilarWeb (бесплатный доступ, дата снятия: </w:t>
      </w:r>
      <w:r>
        <w:rPr>
          <w:rFonts w:ascii="Consolas" w:cs="Consolas" w:eastAsia="Consolas" w:hAnsi="Consolas"/>
        </w:rPr>
        <w:t xml:space="preserve">&lt;дата&gt;</w:t>
      </w:r>
      <w:r>
        <w:t xml:space="preserve">)».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2026-09-17T20:10:55.643Z</dcterms:created>
  <dcterms:modified xsi:type="dcterms:W3CDTF">2026-09-17T20:10:55.645Z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