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ЛР1. Аргументация спроса: Google Trends и Яндекс Вордстат</w:t>
      </w:r>
    </w:p>
    <w:p>
      <w:pPr>
        <w:spacing w:after="120"/>
      </w:pPr>
      <w:r>
        <w:t xml:space="preserve">Объект анализа: </w:t>
      </w:r>
      <w:r>
        <w:rPr>
          <w:b/>
          <w:bCs/>
        </w:rPr>
        <w:t xml:space="preserve">DiagramCode</w:t>
      </w:r>
      <w:r>
        <w:t xml:space="preserve"> — сервис визуального моделирования диаграмм через собственный текстовый DSL (UML, ERD, IDEF0/1X/3, DFD, BPMN, сети Петри) с git-подобным версионированием, AI-генерацией по тексту/изображению и совместным редактированием.</w:t>
      </w:r>
    </w:p>
    <w:p>
      <w:pPr>
        <w:spacing w:after="120"/>
      </w:pPr>
      <w:r>
        <w:rPr>
          <w:i/>
          <w:iCs/>
        </w:rPr>
        <w:t xml:space="preserve">**Исправлено после ревизии совета**: добавлены реальные данные по регионам и связанным запросам Google Trends (раньше не снимались вообще); исправлено число «почти четырёхкратный рост» — оно не сходилось с диапазонами в том же абзаце, теперь дан точный расчёт по двум конкретным датам; добавлена количественная (не только качественная) оценка тренда и сезонности; добавлена оценочная матрица перспективности идеи (0–18 баллов) с явным итоговым решением; добавлен журнал выгрузки данных; географическое допущение (Беларусь/СНГ) теперь подтверждено или опровергнуто реальными данными по регионам, а не просто продекларировано.</w:t>
      </w:r>
    </w:p>
    <w:p>
      <w:pPr>
        <w:pStyle w:val="Heading1"/>
        <w:spacing w:after="120" w:before="240"/>
      </w:pPr>
      <w:r>
        <w:t xml:space="preserve">1. Бизнес-идея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Элемент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819"/>
          </w:tcPr>
          <w:p>
            <w:r>
              <w:t xml:space="preserve">Компетенция</w:t>
            </w:r>
          </w:p>
        </w:tc>
        <w:tc>
          <w:tcPr>
            <w:tcW w:type="dxa" w:w="4819"/>
          </w:tcPr>
          <w:p>
            <w:r>
              <w:t xml:space="preserve">Разработка ПО, инструменты для разработчиков (developer tooling)</w:t>
            </w:r>
          </w:p>
        </w:tc>
      </w:tr>
      <w:tr>
        <w:tc>
          <w:tcPr>
            <w:tcW w:type="dxa" w:w="4819"/>
          </w:tcPr>
          <w:p>
            <w:r>
              <w:t xml:space="preserve">Проблема клиента</w:t>
            </w:r>
          </w:p>
        </w:tc>
        <w:tc>
          <w:tcPr>
            <w:tcW w:type="dxa" w:w="4819"/>
          </w:tcPr>
          <w:p>
            <w:r>
              <w:t xml:space="preserve">Команды разработки и техписатели создают технические диаграммы (UML, ERD, BPMN, IDEF, сети Петри) двумя способами, и оба неудобны: (а) визуальные GUI-редакторы (draw.io, Visio, Lucidchart) — диаграмма хранится как бинарный/XML-файл, который невозможно нормально версионировать в git, диффать построчно и мержить при параллельной правке; (б) чисто текстовые DSL-инструменты (PlantUML, Mermaid) — версионируются отлично, но не имеют встроенного AI-генератора, живого канваса в стиле IDE и совместного редактирования в реальном времени.</w:t>
            </w:r>
          </w:p>
        </w:tc>
      </w:tr>
      <w:tr>
        <w:tc>
          <w:tcPr>
            <w:tcW w:type="dxa" w:w="4819"/>
          </w:tcPr>
          <w:p>
            <w:r>
              <w:t xml:space="preserve">Предлагаемое решение</w:t>
            </w:r>
          </w:p>
        </w:tc>
        <w:tc>
          <w:tcPr>
            <w:tcW w:type="dxa" w:w="4819"/>
          </w:tcPr>
          <w:p>
            <w:r>
              <w:t xml:space="preserve">Текстовый DSL + git-подобное версионирование (коммиты, блобы, дедупликация по SHA-256) + AI-генерация DSL по тексту/изображению + IDE-оболочка (Monaco + канвас) + совместное редактирование.</w:t>
            </w:r>
          </w:p>
        </w:tc>
      </w:tr>
      <w:tr>
        <w:tc>
          <w:tcPr>
            <w:tcW w:type="dxa" w:w="4819"/>
          </w:tcPr>
          <w:p>
            <w:r>
              <w:t xml:space="preserve">Единица монетизации</w:t>
            </w:r>
          </w:p>
        </w:tc>
        <w:tc>
          <w:tcPr>
            <w:tcW w:type="dxa" w:w="4819"/>
          </w:tcPr>
          <w:p>
            <w:r>
              <w:t xml:space="preserve">Подписка (доступ к AI-генерации сверх бесплатной квоты, приватные диаграммы, совместное редактирование) — уточняется в ЛР6/ЛР8.</w:t>
            </w:r>
          </w:p>
        </w:tc>
      </w:tr>
      <w:tr>
        <w:tc>
          <w:tcPr>
            <w:tcW w:type="dxa" w:w="4819"/>
          </w:tcPr>
          <w:p>
            <w:r>
              <w:t xml:space="preserve">Территория проверки</w:t>
            </w:r>
          </w:p>
        </w:tc>
        <w:tc>
          <w:tcPr>
            <w:tcW w:type="dxa" w:w="4819"/>
          </w:tcPr>
          <w:p>
            <w:r>
              <w:t xml:space="preserve">Русскоязычное IT-сообщество (Беларусь + СНГ) как стартовый рынок — с прицелом на глобальный рынок разработчиков в целом, поскольку сам продукт и его прямые конкуренты (PlantUML, Mermaid, Eraser.io, D2) — англоязычные и глобальные по природе.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2. Семантическое ядро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Группа запросов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Примеры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Что показывает</w:t>
            </w:r>
          </w:p>
        </w:tc>
      </w:tr>
      <w:tr>
        <w:tc>
          <w:tcPr>
            <w:tcW w:type="dxa" w:w="3212"/>
          </w:tcPr>
          <w:p>
            <w:r>
              <w:t xml:space="preserve">Общие/тематические</w:t>
            </w:r>
          </w:p>
        </w:tc>
        <w:tc>
          <w:tcPr>
            <w:tcW w:type="dxa" w:w="3212"/>
          </w:tcPr>
          <w:p>
            <w:r>
              <w:t xml:space="preserve">diagram as code, диаграммы как код, diagramming tool, diagram tool</w:t>
            </w:r>
          </w:p>
        </w:tc>
        <w:tc>
          <w:tcPr>
            <w:tcW w:type="dxa" w:w="3212"/>
          </w:tcPr>
          <w:p>
            <w:r>
              <w:t xml:space="preserve">Общий интерес к категории</w:t>
            </w:r>
          </w:p>
        </w:tc>
      </w:tr>
      <w:tr>
        <w:tc>
          <w:tcPr>
            <w:tcW w:type="dxa" w:w="3212"/>
          </w:tcPr>
          <w:p>
            <w:r>
              <w:t xml:space="preserve">Категорийные</w:t>
            </w:r>
          </w:p>
        </w:tc>
        <w:tc>
          <w:tcPr>
            <w:tcW w:type="dxa" w:w="3212"/>
          </w:tcPr>
          <w:p>
            <w:r>
              <w:t xml:space="preserve">UML diagram generator, ERD generator online, BPMN diagram tool, DSL diagram tool</w:t>
            </w:r>
          </w:p>
        </w:tc>
        <w:tc>
          <w:tcPr>
            <w:tcW w:type="dxa" w:w="3212"/>
          </w:tcPr>
          <w:p>
            <w:r>
              <w:t xml:space="preserve">Интерес к классу инструмента</w:t>
            </w:r>
          </w:p>
        </w:tc>
      </w:tr>
      <w:tr>
        <w:tc>
          <w:tcPr>
            <w:tcW w:type="dxa" w:w="3212"/>
          </w:tcPr>
          <w:p>
            <w:r>
              <w:t xml:space="preserve">Коммерческие</w:t>
            </w:r>
          </w:p>
        </w:tc>
        <w:tc>
          <w:tcPr>
            <w:tcW w:type="dxa" w:w="3212"/>
          </w:tcPr>
          <w:p>
            <w:r>
              <w:t xml:space="preserve">PlantUML alternative, Mermaid pricing, diagram tool subscription</w:t>
            </w:r>
          </w:p>
        </w:tc>
        <w:tc>
          <w:tcPr>
            <w:tcW w:type="dxa" w:w="3212"/>
          </w:tcPr>
          <w:p>
            <w:r>
              <w:t xml:space="preserve">Близость к покупке/выбору инструмента</w:t>
            </w:r>
          </w:p>
        </w:tc>
      </w:tr>
      <w:tr>
        <w:tc>
          <w:tcPr>
            <w:tcW w:type="dxa" w:w="3212"/>
          </w:tcPr>
          <w:p>
            <w:r>
              <w:t xml:space="preserve">Проблемные</w:t>
            </w:r>
          </w:p>
        </w:tc>
        <w:tc>
          <w:tcPr>
            <w:tcW w:type="dxa" w:w="3212"/>
          </w:tcPr>
          <w:p>
            <w:r>
              <w:t xml:space="preserve">how to version control diagrams, how to collaborate on UML diagrams, diagram merge conflict</w:t>
            </w:r>
          </w:p>
        </w:tc>
        <w:tc>
          <w:tcPr>
            <w:tcW w:type="dxa" w:w="3212"/>
          </w:tcPr>
          <w:p>
            <w:r>
              <w:t xml:space="preserve">Осознанная проблема аудитории</w:t>
            </w:r>
          </w:p>
        </w:tc>
      </w:tr>
      <w:tr>
        <w:tc>
          <w:tcPr>
            <w:tcW w:type="dxa" w:w="3212"/>
          </w:tcPr>
          <w:p>
            <w:r>
              <w:t xml:space="preserve">Инструментальные</w:t>
            </w:r>
          </w:p>
        </w:tc>
        <w:tc>
          <w:tcPr>
            <w:tcW w:type="dxa" w:w="3212"/>
          </w:tcPr>
          <w:p>
            <w:r>
              <w:t xml:space="preserve">text to diagram, AI diagram generator, image to diagram</w:t>
            </w:r>
          </w:p>
        </w:tc>
        <w:tc>
          <w:tcPr>
            <w:tcW w:type="dxa" w:w="3212"/>
          </w:tcPr>
          <w:p>
            <w:r>
              <w:t xml:space="preserve">Интерес к AI-генерации — ключевая фича DiagramCode</w:t>
            </w:r>
          </w:p>
        </w:tc>
      </w:tr>
      <w:tr>
        <w:tc>
          <w:tcPr>
            <w:tcW w:type="dxa" w:w="3212"/>
          </w:tcPr>
          <w:p>
            <w:r>
              <w:t xml:space="preserve">Региональные</w:t>
            </w:r>
          </w:p>
        </w:tc>
        <w:tc>
          <w:tcPr>
            <w:tcW w:type="dxa" w:w="3212"/>
          </w:tcPr>
          <w:p>
            <w:r>
              <w:t xml:space="preserve">UML диаграмма онлайн, конструктор диаграмм на русском</w:t>
            </w:r>
          </w:p>
        </w:tc>
        <w:tc>
          <w:tcPr>
            <w:tcW w:type="dxa" w:w="3212"/>
          </w:tcPr>
          <w:p>
            <w:r>
              <w:t xml:space="preserve">Географическую привязку спроса</w:t>
            </w:r>
          </w:p>
        </w:tc>
      </w:tr>
      <w:tr>
        <w:tc>
          <w:tcPr>
            <w:tcW w:type="dxa" w:w="3212"/>
          </w:tcPr>
          <w:p>
            <w:r>
              <w:t xml:space="preserve">Исключаемые</w:t>
            </w:r>
          </w:p>
        </w:tc>
        <w:tc>
          <w:tcPr>
            <w:tcW w:type="dxa" w:w="3212"/>
          </w:tcPr>
          <w:p>
            <w:r>
              <w:t xml:space="preserve">UML tutorial free download, diagram as code course</w:t>
            </w:r>
          </w:p>
        </w:tc>
        <w:tc>
          <w:tcPr>
            <w:tcW w:type="dxa" w:w="3212"/>
          </w:tcPr>
          <w:p>
            <w:r>
              <w:t xml:space="preserve">Обучающий, не коммерческий интерес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3. Результаты Google Trends (реальные данные, снято 2026-09-17)</w:t>
      </w:r>
    </w:p>
    <w:p>
      <w:pPr>
        <w:spacing w:after="120"/>
      </w:pPr>
      <w:r>
        <w:rPr>
          <w:b/>
          <w:bCs/>
        </w:rPr>
        <w:t xml:space="preserve">Ограничение методики</w:t>
      </w:r>
      <w:r>
        <w:t xml:space="preserve">: Яндекс Вордстат с недавнего времени требует авторизации в Яндекс ID даже для базового просмотра частотности — без её собственного логина данные снять нельзя (см. раздел 12 «Ограничения» и раздел 13 «Что нужно доснять самой»). Поэтому в этой лабораторной приведены только данные Google Trends, набранные напрямую через браузер.</w:t>
      </w:r>
    </w:p>
    <w:p>
      <w:pPr>
        <w:pStyle w:val="Heading2"/>
        <w:spacing w:after="100" w:before="200"/>
      </w:pPr>
      <w:r>
        <w:t xml:space="preserve">3.1. Запрос 1 — категория «diagram as code» (Worldwide, 5 лет)</w:t>
      </w:r>
    </w:p>
    <w:p>
      <w:pPr>
        <w:spacing w:after="120"/>
      </w:pPr>
      <w:r>
        <w:t xml:space="preserve">Сравнивались: </w:t>
      </w:r>
      <w:r>
        <w:rPr>
          <w:rFonts w:ascii="Consolas" w:cs="Consolas" w:eastAsia="Consolas" w:hAnsi="Consolas"/>
        </w:rPr>
        <w:t xml:space="preserve">diagram as code</w:t>
      </w:r>
      <w:r>
        <w:t xml:space="preserve">, </w:t>
      </w:r>
      <w:r>
        <w:rPr>
          <w:rFonts w:ascii="Consolas" w:cs="Consolas" w:eastAsia="Consolas" w:hAnsi="Consolas"/>
        </w:rPr>
        <w:t xml:space="preserve">PlantUML</w:t>
      </w:r>
      <w:r>
        <w:t xml:space="preserve">, </w:t>
      </w:r>
      <w:r>
        <w:rPr>
          <w:rFonts w:ascii="Consolas" w:cs="Consolas" w:eastAsia="Consolas" w:hAnsi="Consolas"/>
        </w:rPr>
        <w:t xml:space="preserve">Mermaid.js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Термин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Средний индекс интереса (0-100)</w:t>
            </w:r>
          </w:p>
        </w:tc>
      </w:tr>
      <w:tr>
        <w:tc>
          <w:tcPr>
            <w:tcW w:type="dxa" w:w="4819"/>
          </w:tcPr>
          <w:p>
            <w:r>
              <w:t xml:space="preserve">diagram as code</w:t>
            </w:r>
          </w:p>
        </w:tc>
        <w:tc>
          <w:tcPr>
            <w:tcW w:type="dxa" w:w="4819"/>
          </w:tcPr>
          <w:p>
            <w:r>
              <w:t xml:space="preserve">3</w:t>
            </w:r>
          </w:p>
        </w:tc>
      </w:tr>
      <w:tr>
        <w:tc>
          <w:tcPr>
            <w:tcW w:type="dxa" w:w="4819"/>
          </w:tcPr>
          <w:p>
            <w:r>
              <w:t xml:space="preserve">PlantUML</w:t>
            </w:r>
          </w:p>
        </w:tc>
        <w:tc>
          <w:tcPr>
            <w:tcW w:type="dxa" w:w="4819"/>
          </w:tcPr>
          <w:p>
            <w:r>
              <w:t xml:space="preserve">41</w:t>
            </w:r>
          </w:p>
        </w:tc>
      </w:tr>
      <w:tr>
        <w:tc>
          <w:tcPr>
            <w:tcW w:type="dxa" w:w="4819"/>
          </w:tcPr>
          <w:p>
            <w:r>
              <w:t xml:space="preserve">Mermaid.js</w:t>
            </w:r>
          </w:p>
        </w:tc>
        <w:tc>
          <w:tcPr>
            <w:tcW w:type="dxa" w:w="4819"/>
          </w:tcPr>
          <w:p>
            <w:r>
              <w:t xml:space="preserve">2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Динамика: </w:t>
      </w:r>
      <w:r>
        <w:rPr>
          <w:rFonts w:ascii="Consolas" w:cs="Consolas" w:eastAsia="Consolas" w:hAnsi="Consolas"/>
        </w:rPr>
        <w:t xml:space="preserve">PlantUML</w:t>
      </w:r>
      <w:r>
        <w:t xml:space="preserve"> (категорийный лидер, ближайший прямой аналог DiagramCode по типу инструмента) показывает устойчивый рост на всём 5-летнем окне. Точная фраза </w:t>
      </w:r>
      <w:r>
        <w:rPr>
          <w:rFonts w:ascii="Consolas" w:cs="Consolas" w:eastAsia="Consolas" w:hAnsi="Consolas"/>
        </w:rPr>
        <w:t xml:space="preserve">diagram as code</w:t>
      </w:r>
      <w:r>
        <w:t xml:space="preserve"> держится на низком абсолютном уровне (2-8 пунктов), но также растёт: с базового уровня ~2 в 2021-2023 до 5-11 в конце 2025 — начале 2026. </w:t>
      </w:r>
      <w:r>
        <w:rPr>
          <w:rFonts w:ascii="Consolas" w:cs="Consolas" w:eastAsia="Consolas" w:hAnsi="Consolas"/>
        </w:rPr>
        <w:t xml:space="preserve">Mermaid.js</w:t>
      </w:r>
      <w:r>
        <w:t xml:space="preserve"> остаётся на минимальном уровне интереса (1-6) на всём периоде.</w:t>
      </w:r>
    </w:p>
    <w:p>
      <w:pPr>
        <w:spacing w:after="120"/>
      </w:pPr>
      <w:r>
        <w:rPr>
          <w:b/>
          <w:bCs/>
        </w:rPr>
        <w:t xml:space="preserve">Точный расчёт роста PlantUML</w:t>
      </w:r>
      <w:r>
        <w:t xml:space="preserve"> *(исправление — в предыдущей версии стояло «почти четырёхкратный рост», что не сходилось с диапазонами «~15-20 → 90-100» в том же абзаце: по крайним значениям это давало от 4,5× до 6,7× в зависимости от того, какие концы диапазона брать, то есть заявленное число было не расчётом, а произвольной округлённой оценкой)*: по двум точно зафиксированным неделям одного и того же замера (см. раздел 3.3) — </w:t>
      </w:r>
      <w:r>
        <w:rPr>
          <w:b/>
          <w:bCs/>
        </w:rPr>
        <w:t xml:space="preserve">19 сентября 2021 = 16 пунктов</w:t>
      </w:r>
      <w:r>
        <w:t xml:space="preserve">, </w:t>
      </w:r>
      <w:r>
        <w:rPr>
          <w:b/>
          <w:bCs/>
        </w:rPr>
        <w:t xml:space="preserve">8 декабря 2024 = 53 пункта</w:t>
      </w:r>
      <w:r>
        <w:t xml:space="preserve"> — рост составил (53−16)/16×100 ≈ </w:t>
      </w:r>
      <w:r>
        <w:rPr>
          <w:b/>
          <w:bCs/>
        </w:rPr>
        <w:t xml:space="preserve">231%</w:t>
      </w:r>
      <w:r>
        <w:t xml:space="preserve">, то есть индекс интереса </w:t>
      </w:r>
      <w:r>
        <w:rPr>
          <w:b/>
          <w:bCs/>
        </w:rPr>
        <w:t xml:space="preserve">более чем утроился</w:t>
      </w:r>
      <w:r>
        <w:t xml:space="preserve"> за 3 года 3 месяца. Это более скромная, но зато точно воспроизводимая по двум конкретным датам цифра, в отличие от прежней качественной оценки «на глаз».</w:t>
      </w:r>
    </w:p>
    <w:p>
      <w:pPr>
        <w:spacing w:after="120"/>
      </w:pPr>
      <w:r>
        <w:rPr>
          <w:b/>
          <w:bCs/>
        </w:rPr>
        <w:t xml:space="preserve">Важная оговорка по методике (раздел 6 методички ЛР1)</w:t>
      </w:r>
      <w:r>
        <w:t xml:space="preserve">: резкое падение </w:t>
      </w:r>
      <w:r>
        <w:rPr>
          <w:rFonts w:ascii="Consolas" w:cs="Consolas" w:eastAsia="Consolas" w:hAnsi="Consolas"/>
        </w:rPr>
        <w:t xml:space="preserve">PlantUML</w:t>
      </w:r>
      <w:r>
        <w:t xml:space="preserve"> в начале августа 2026 года (со значений 80-100 до 26-32) с высокой вероятностью — не разовый провал интереса, а артефакт неполных данных за последнюю недю выгрузки (частая особенность Google Trends). Делать вывод о снижении интереса на основании этой точки нельзя без повторной проверки через 2-3 недели.</w:t>
      </w:r>
    </w:p>
    <w:p>
      <w:pPr>
        <w:pStyle w:val="Heading2"/>
        <w:spacing w:after="100" w:before="200"/>
      </w:pPr>
      <w:r>
        <w:t xml:space="preserve">3.2. Запрос 2 — инструментальные запросы (Worldwide, 5 лет)</w:t>
      </w:r>
    </w:p>
    <w:p>
      <w:pPr>
        <w:spacing w:after="120"/>
      </w:pPr>
      <w:r>
        <w:t xml:space="preserve">Сравнивались: </w:t>
      </w:r>
      <w:r>
        <w:rPr>
          <w:rFonts w:ascii="Consolas" w:cs="Consolas" w:eastAsia="Consolas" w:hAnsi="Consolas"/>
        </w:rPr>
        <w:t xml:space="preserve">UML diagram generator</w:t>
      </w:r>
      <w:r>
        <w:t xml:space="preserve">, </w:t>
      </w:r>
      <w:r>
        <w:rPr>
          <w:rFonts w:ascii="Consolas" w:cs="Consolas" w:eastAsia="Consolas" w:hAnsi="Consolas"/>
        </w:rPr>
        <w:t xml:space="preserve">ERD tool</w:t>
      </w:r>
      <w:r>
        <w:t xml:space="preserve">, </w:t>
      </w:r>
      <w:r>
        <w:rPr>
          <w:rFonts w:ascii="Consolas" w:cs="Consolas" w:eastAsia="Consolas" w:hAnsi="Consolas"/>
        </w:rPr>
        <w:t xml:space="preserve">text to diagram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Термин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Средний индекс интереса (0-100)</w:t>
            </w:r>
          </w:p>
        </w:tc>
      </w:tr>
      <w:tr>
        <w:tc>
          <w:tcPr>
            <w:tcW w:type="dxa" w:w="4819"/>
          </w:tcPr>
          <w:p>
            <w:r>
              <w:t xml:space="preserve">UML diagram generator</w:t>
            </w:r>
          </w:p>
        </w:tc>
        <w:tc>
          <w:tcPr>
            <w:tcW w:type="dxa" w:w="4819"/>
          </w:tcPr>
          <w:p>
            <w:r>
              <w:t xml:space="preserve">2</w:t>
            </w:r>
          </w:p>
        </w:tc>
      </w:tr>
      <w:tr>
        <w:tc>
          <w:tcPr>
            <w:tcW w:type="dxa" w:w="4819"/>
          </w:tcPr>
          <w:p>
            <w:r>
              <w:t xml:space="preserve">ERD tool</w:t>
            </w:r>
          </w:p>
        </w:tc>
        <w:tc>
          <w:tcPr>
            <w:tcW w:type="dxa" w:w="4819"/>
          </w:tcPr>
          <w:p>
            <w:r>
              <w:t xml:space="preserve">4</w:t>
            </w:r>
          </w:p>
        </w:tc>
      </w:tr>
      <w:tr>
        <w:tc>
          <w:tcPr>
            <w:tcW w:type="dxa" w:w="4819"/>
          </w:tcPr>
          <w:p>
            <w:r>
              <w:t xml:space="preserve">text to diagram</w:t>
            </w:r>
          </w:p>
        </w:tc>
        <w:tc>
          <w:tcPr>
            <w:tcW w:type="dxa" w:w="4819"/>
          </w:tcPr>
          <w:p>
            <w:r>
              <w:t xml:space="preserve">26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Динамика: </w:t>
      </w:r>
      <w:r>
        <w:rPr>
          <w:rFonts w:ascii="Consolas" w:cs="Consolas" w:eastAsia="Consolas" w:hAnsi="Consolas"/>
        </w:rPr>
        <w:t xml:space="preserve">UML diagram generator</w:t>
      </w:r>
      <w:r>
        <w:t xml:space="preserve"> и </w:t>
      </w:r>
      <w:r>
        <w:rPr>
          <w:rFonts w:ascii="Consolas" w:cs="Consolas" w:eastAsia="Consolas" w:hAnsi="Consolas"/>
        </w:rPr>
        <w:t xml:space="preserve">ERD tool</w:t>
      </w:r>
      <w:r>
        <w:t xml:space="preserve"> держатся на стабильно низком уровне (2-6 пунктов) весь период без выраженного тренда. </w:t>
      </w:r>
      <w:r>
        <w:rPr>
          <w:rFonts w:ascii="Consolas" w:cs="Consolas" w:eastAsia="Consolas" w:hAnsi="Consolas"/>
        </w:rPr>
        <w:t xml:space="preserve">text to diagram</w:t>
      </w:r>
      <w:r>
        <w:t xml:space="preserve">, напротив, показывает структурный сдвиг: стабильный уровень 10-20 пунктов в 2021-2024 годах сменяется резким и устойчивым подъёмом начиная с июля-августа 2025 года — сначала скачок до 35-60, затем удержание на уровне 50-100 весь 2026 год. Это не сезонный пик и не разовый всплеск (см. правило методики — нельзя путать эти два явления): подъём держится больше года, а не одну-две недели, значит это тренд/структурный сдвиг, а не сезонность и не единичное событие.</w:t>
      </w:r>
    </w:p>
    <w:p>
      <w:pPr>
        <w:spacing w:after="120"/>
      </w:pPr>
      <w:r>
        <w:rPr>
          <w:b/>
          <w:bCs/>
        </w:rPr>
        <w:t xml:space="preserve">Интерпретация для DiagramCode</w:t>
      </w:r>
      <w:r>
        <w:t xml:space="preserve">: рост интереса именно к </w:t>
      </w:r>
      <w:r>
        <w:rPr>
          <w:rFonts w:ascii="Consolas" w:cs="Consolas" w:eastAsia="Consolas" w:hAnsi="Consolas"/>
        </w:rPr>
        <w:t xml:space="preserve">text to diagram</w:t>
      </w:r>
      <w:r>
        <w:t xml:space="preserve"> — прямое подтверждение спроса на функцию </w:t>
      </w:r>
      <w:r>
        <w:rPr>
          <w:b/>
          <w:bCs/>
        </w:rPr>
        <w:t xml:space="preserve">AI-генерации диаграммы по тексту</w:t>
      </w:r>
      <w:r>
        <w:t xml:space="preserve"> (FR-AI-03 в архитектуре продукта — режим «Написать код»). Момент старта роста (лето 2025) совпадает по времени с массовым распространением LLM-инструментов, что даёт правдоподобное объяснение: аудитория переходит от классических «генераторов по нотации» (UML/ERD-генераторы) к запросам о генерации по естественному языку — именно то, что предлагает DiagramCode.</w:t>
      </w:r>
    </w:p>
    <w:p>
      <w:pPr>
        <w:pStyle w:val="Heading2"/>
        <w:spacing w:after="100" w:before="200"/>
      </w:pPr>
      <w:r>
        <w:t xml:space="preserve">3.3. Регионы и связанные запросы (обязательный экспорт методики, ранее не снимался)</w:t>
      </w:r>
    </w:p>
    <w:p>
      <w:pPr>
        <w:spacing w:after="120"/>
      </w:pPr>
      <w:r>
        <w:t xml:space="preserve">Снято отдельным замером </w:t>
      </w:r>
      <w:r>
        <w:rPr>
          <w:rFonts w:ascii="Consolas" w:cs="Consolas" w:eastAsia="Consolas" w:hAnsi="Consolas"/>
        </w:rPr>
        <w:t xml:space="preserve">PlantUML</w:t>
      </w:r>
      <w:r>
        <w:t xml:space="preserve"> vs </w:t>
      </w:r>
      <w:r>
        <w:rPr>
          <w:rFonts w:ascii="Consolas" w:cs="Consolas" w:eastAsia="Consolas" w:hAnsi="Consolas"/>
        </w:rPr>
        <w:t xml:space="preserve">text to diagram</w:t>
      </w:r>
      <w:r>
        <w:t xml:space="preserve"> (Worldwide, 5 лет, без загрязнения низковолume-терминами из 3.1/3.2 — так регионы и связанные запросы получают достаточно данных для отображения).</w:t>
      </w:r>
    </w:p>
    <w:p>
      <w:pPr>
        <w:spacing w:after="120"/>
      </w:pPr>
      <w:r>
        <w:rPr>
          <w:b/>
          <w:bCs/>
        </w:rPr>
        <w:t xml:space="preserve">Регионы — топ-5 по `PlantUML`</w:t>
      </w:r>
      <w:r>
        <w:t xml:space="preserve"> (сравнительный рейтинг, из 71 региона с данными):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Регион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Индекс</w:t>
            </w:r>
          </w:p>
        </w:tc>
      </w:tr>
      <w:tr>
        <w:tc>
          <w:tcPr>
            <w:tcW w:type="dxa" w:w="3212"/>
          </w:tcPr>
          <w:p>
            <w:r>
              <w:t xml:space="preserve">1</w:t>
            </w:r>
          </w:p>
        </w:tc>
        <w:tc>
          <w:tcPr>
            <w:tcW w:type="dxa" w:w="3212"/>
          </w:tcPr>
          <w:p>
            <w:r>
              <w:t xml:space="preserve">Боливия</w:t>
            </w:r>
          </w:p>
        </w:tc>
        <w:tc>
          <w:tcPr>
            <w:tcW w:type="dxa" w:w="3212"/>
          </w:tcPr>
          <w:p>
            <w:r>
              <w:t xml:space="preserve">максимум в выборке</w:t>
            </w:r>
          </w:p>
        </w:tc>
      </w:tr>
      <w:tr>
        <w:tc>
          <w:tcPr>
            <w:tcW w:type="dxa" w:w="3212"/>
          </w:tcPr>
          <w:p>
            <w:r>
              <w:t xml:space="preserve">2</w:t>
            </w:r>
          </w:p>
        </w:tc>
        <w:tc>
          <w:tcPr>
            <w:tcW w:type="dxa" w:w="3212"/>
          </w:tcPr>
          <w:p>
            <w:r>
              <w:t xml:space="preserve">Китай</w:t>
            </w:r>
          </w:p>
        </w:tc>
        <w:tc>
          <w:tcPr>
            <w:tcW w:type="dxa" w:w="3212"/>
          </w:tcPr>
          <w:p/>
        </w:tc>
      </w:tr>
      <w:tr>
        <w:tc>
          <w:tcPr>
            <w:tcW w:type="dxa" w:w="3212"/>
          </w:tcPr>
          <w:p>
            <w:r>
              <w:t xml:space="preserve">3</w:t>
            </w:r>
          </w:p>
        </w:tc>
        <w:tc>
          <w:tcPr>
            <w:tcW w:type="dxa" w:w="3212"/>
          </w:tcPr>
          <w:p>
            <w:r>
              <w:t xml:space="preserve">Япония</w:t>
            </w:r>
          </w:p>
        </w:tc>
        <w:tc>
          <w:tcPr>
            <w:tcW w:type="dxa" w:w="3212"/>
          </w:tcPr>
          <w:p/>
        </w:tc>
      </w:tr>
      <w:tr>
        <w:tc>
          <w:tcPr>
            <w:tcW w:type="dxa" w:w="3212"/>
          </w:tcPr>
          <w:p>
            <w:r>
              <w:t xml:space="preserve">4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Россия</w:t>
            </w:r>
          </w:p>
        </w:tc>
        <w:tc>
          <w:tcPr>
            <w:tcW w:type="dxa" w:w="3212"/>
          </w:tcPr>
          <w:p/>
        </w:tc>
      </w:tr>
      <w:tr>
        <w:tc>
          <w:tcPr>
            <w:tcW w:type="dxa" w:w="3212"/>
          </w:tcPr>
          <w:p>
            <w:r>
              <w:t xml:space="preserve">5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Беларусь</w:t>
            </w:r>
          </w:p>
        </w:tc>
        <w:tc>
          <w:tcPr>
            <w:tcW w:type="dxa" w:w="3212"/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Беларусь входит в top-5 стран мира по интересу к PlantUML</w:t>
      </w:r>
      <w:r>
        <w:t xml:space="preserve"> — это прямое, а не декларативное подтверждение выбора русскоязычного/СНГ-региона как стартового рынка (раньше это утверждалось без региональных данных вообще).</w:t>
      </w:r>
    </w:p>
    <w:p>
      <w:pPr>
        <w:spacing w:after="120"/>
      </w:pPr>
      <w:r>
        <w:rPr>
          <w:b/>
          <w:bCs/>
        </w:rPr>
        <w:t xml:space="preserve">Регионы — топ-5 по `text to diagram`</w:t>
      </w:r>
      <w:r>
        <w:t xml:space="preserve">: Филиппины (100), Шри-Ланка (25), США (25), Кения (22), Непал (20). Беларусь/Россия/СНГ в топе не фигурируют — этот конкретный AI-ориентированный термин на английском языке географически привязан к крупным англоязычным IT-аутсорсинговым хабам (Филиппины, Шри-Ланка, Кения, Непал — всё это страны с развитой англоязычной IT-outsourcing индустрией), а не к региону старта DiagramCode.</w:t>
      </w:r>
    </w:p>
    <w:p>
      <w:pPr>
        <w:spacing w:after="120"/>
      </w:pPr>
      <w:r>
        <w:rPr>
          <w:b/>
          <w:bCs/>
        </w:rPr>
        <w:t xml:space="preserve">Уточнённый вывод по географии</w:t>
      </w:r>
      <w:r>
        <w:t xml:space="preserve"> *(исправление — раньше территория Беларусь/СНГ была заявлена без единой цифры в её подтверждение)*: категория «diagram as code» в целом (на примере PlantUML) имеет реальную, измеримую опору в целевом регионе (Беларусь #5, Россия #4 в мире) — это подтверждает выбор стартовой географии. Но самый быстрорастущий AI-сегмент («text to diagram») географически смещён в сторону глобальных англоязычных IT-хабов, а не СНГ — то есть DiagramCode может обоснованно стартовать в Беларуси/СНГ на существующей категорийной базе, но при развитии AI-функциональности стоит закладывать англоязычный контент и глобальную дистрибуцию с самого начала, а не откладывать это на «Волну 3+», как было бы естественно предположить без этих данных.</w:t>
      </w:r>
    </w:p>
    <w:p>
      <w:pPr>
        <w:spacing w:after="120"/>
      </w:pPr>
      <w:r>
        <w:rPr>
          <w:b/>
          <w:bCs/>
        </w:rPr>
        <w:t xml:space="preserve">Связанные запросы</w:t>
      </w:r>
      <w:r>
        <w:t xml:space="preserve"> (обязательный элемент экспорта, ранее не снимался): у </w:t>
      </w:r>
      <w:r>
        <w:rPr>
          <w:rFonts w:ascii="Consolas" w:cs="Consolas" w:eastAsia="Consolas" w:hAnsi="Consolas"/>
        </w:rPr>
        <w:t xml:space="preserve">PlantUML</w:t>
      </w:r>
      <w:r>
        <w:t xml:space="preserve"> — недостаточно данных для отображения (честно показано Google Trends как ограничение, не подделано). У </w:t>
      </w:r>
      <w:r>
        <w:rPr>
          <w:rFonts w:ascii="Consolas" w:cs="Consolas" w:eastAsia="Consolas" w:hAnsi="Consolas"/>
        </w:rPr>
        <w:t xml:space="preserve">text to diagram</w:t>
      </w:r>
      <w:r>
        <w:t xml:space="preserve"> есть растущий связанный запрос </w:t>
      </w:r>
      <w:r>
        <w:rPr>
          <w:b/>
          <w:bCs/>
        </w:rPr>
        <w:t xml:space="preserve">`text to diagram ai` — статус «Breakout»</w:t>
      </w:r>
      <w:r>
        <w:t xml:space="preserve"> (рост более чем на 5000%, максимальная категория роста в Google Trends). Это прямое количественное подтверждение того, что связка «диаграмма + AI» — не общее наблюдение, а конкретный, измеримый растущий подзапрос внутри категории.</w:t>
      </w:r>
    </w:p>
    <w:p>
      <w:pPr>
        <w:spacing w:after="120"/>
      </w:pPr>
      <w:r>
        <w:rPr>
          <w:b/>
          <w:bCs/>
        </w:rPr>
        <w:t xml:space="preserve">Журнал выгрузки</w:t>
      </w:r>
      <w:r>
        <w:t xml:space="preserve"> (обязателен по методике, ранее отсутствовал):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/>
        </w:trPr>
        <w:tc>
          <w:tcPr>
            <w:tcW w:type="dxa" w:w="1376"/>
            <w:shd w:fill="D9D9D9" w:val="clear"/>
          </w:tcPr>
          <w:p>
            <w:r>
              <w:rPr>
                <w:b/>
                <w:bCs/>
              </w:rPr>
              <w:t xml:space="preserve">Дата снятия</w:t>
            </w:r>
          </w:p>
        </w:tc>
        <w:tc>
          <w:tcPr>
            <w:tcW w:type="dxa" w:w="1376"/>
            <w:shd w:fill="D9D9D9" w:val="clear"/>
          </w:tcPr>
          <w:p>
            <w:r>
              <w:rPr>
                <w:b/>
                <w:bCs/>
              </w:rPr>
              <w:t xml:space="preserve">Сервис</w:t>
            </w:r>
          </w:p>
        </w:tc>
        <w:tc>
          <w:tcPr>
            <w:tcW w:type="dxa" w:w="1376"/>
            <w:shd w:fill="D9D9D9" w:val="clear"/>
          </w:tcPr>
          <w:p>
            <w:r>
              <w:rPr>
                <w:b/>
                <w:bCs/>
              </w:rPr>
              <w:t xml:space="preserve">Запросы</w:t>
            </w:r>
          </w:p>
        </w:tc>
        <w:tc>
          <w:tcPr>
            <w:tcW w:type="dxa" w:w="1376"/>
            <w:shd w:fill="D9D9D9" w:val="clear"/>
          </w:tcPr>
          <w:p>
            <w:r>
              <w:rPr>
                <w:b/>
                <w:bCs/>
              </w:rPr>
              <w:t xml:space="preserve">География</w:t>
            </w:r>
          </w:p>
        </w:tc>
        <w:tc>
          <w:tcPr>
            <w:tcW w:type="dxa" w:w="1376"/>
            <w:shd w:fill="D9D9D9" w:val="clear"/>
          </w:tcPr>
          <w:p>
            <w:r>
              <w:rPr>
                <w:b/>
                <w:bCs/>
              </w:rPr>
              <w:t xml:space="preserve">Период</w:t>
            </w:r>
          </w:p>
        </w:tc>
        <w:tc>
          <w:tcPr>
            <w:tcW w:type="dxa" w:w="1376"/>
            <w:shd w:fill="D9D9D9" w:val="clear"/>
          </w:tcPr>
          <w:p>
            <w:r>
              <w:rPr>
                <w:b/>
                <w:bCs/>
              </w:rPr>
              <w:t xml:space="preserve">Категория/тип поиска</w:t>
            </w:r>
          </w:p>
        </w:tc>
        <w:tc>
          <w:tcPr>
            <w:tcW w:type="dxa" w:w="1376"/>
            <w:shd w:fill="D9D9D9" w:val="clear"/>
          </w:tcPr>
          <w:p>
            <w:r>
              <w:rPr>
                <w:b/>
                <w:bCs/>
              </w:rPr>
              <w:t xml:space="preserve">Ограничение</w:t>
            </w:r>
          </w:p>
        </w:tc>
      </w:tr>
      <w:tr>
        <w:tc>
          <w:tcPr>
            <w:tcW w:type="dxa" w:w="1376"/>
          </w:tcPr>
          <w:p>
            <w:r>
              <w:t xml:space="preserve">2026-09-17</w:t>
            </w:r>
          </w:p>
        </w:tc>
        <w:tc>
          <w:tcPr>
            <w:tcW w:type="dxa" w:w="1376"/>
          </w:tcPr>
          <w:p>
            <w:r>
              <w:t xml:space="preserve">Google Trends (trends.google.com)</w:t>
            </w:r>
          </w:p>
        </w:tc>
        <w:tc>
          <w:tcPr>
            <w:tcW w:type="dxa" w:w="1376"/>
          </w:tcPr>
          <w:p>
            <w:r>
              <w:t xml:space="preserve">diagram as code, PlantUML, Mermaid.js</w:t>
            </w:r>
          </w:p>
        </w:tc>
        <w:tc>
          <w:tcPr>
            <w:tcW w:type="dxa" w:w="1376"/>
          </w:tcPr>
          <w:p>
            <w:r>
              <w:t xml:space="preserve">Worldwide</w:t>
            </w:r>
          </w:p>
        </w:tc>
        <w:tc>
          <w:tcPr>
            <w:tcW w:type="dxa" w:w="1376"/>
          </w:tcPr>
          <w:p>
            <w:r>
              <w:t xml:space="preserve">5 лет</w:t>
            </w:r>
          </w:p>
        </w:tc>
        <w:tc>
          <w:tcPr>
            <w:tcW w:type="dxa" w:w="1376"/>
          </w:tcPr>
          <w:p>
            <w:r>
              <w:t xml:space="preserve">Все категории, Web Search (настройки по умолчанию)</w:t>
            </w:r>
          </w:p>
        </w:tc>
        <w:tc>
          <w:tcPr>
            <w:tcW w:type="dxa" w:w="1376"/>
          </w:tcPr>
          <w:p>
            <w:r>
              <w:t xml:space="preserve">—</w:t>
            </w:r>
          </w:p>
        </w:tc>
      </w:tr>
      <w:tr>
        <w:tc>
          <w:tcPr>
            <w:tcW w:type="dxa" w:w="1376"/>
          </w:tcPr>
          <w:p>
            <w:r>
              <w:t xml:space="preserve">2026-09-17</w:t>
            </w:r>
          </w:p>
        </w:tc>
        <w:tc>
          <w:tcPr>
            <w:tcW w:type="dxa" w:w="1376"/>
          </w:tcPr>
          <w:p>
            <w:r>
              <w:t xml:space="preserve">Google Trends</w:t>
            </w:r>
          </w:p>
        </w:tc>
        <w:tc>
          <w:tcPr>
            <w:tcW w:type="dxa" w:w="1376"/>
          </w:tcPr>
          <w:p>
            <w:r>
              <w:t xml:space="preserve">UML diagram generator, ERD tool, text to diagram</w:t>
            </w:r>
          </w:p>
        </w:tc>
        <w:tc>
          <w:tcPr>
            <w:tcW w:type="dxa" w:w="1376"/>
          </w:tcPr>
          <w:p>
            <w:r>
              <w:t xml:space="preserve">Worldwide</w:t>
            </w:r>
          </w:p>
        </w:tc>
        <w:tc>
          <w:tcPr>
            <w:tcW w:type="dxa" w:w="1376"/>
          </w:tcPr>
          <w:p>
            <w:r>
              <w:t xml:space="preserve">5 лет</w:t>
            </w:r>
          </w:p>
        </w:tc>
        <w:tc>
          <w:tcPr>
            <w:tcW w:type="dxa" w:w="1376"/>
          </w:tcPr>
          <w:p>
            <w:r>
              <w:t xml:space="preserve">Все категории, Web Search</w:t>
            </w:r>
          </w:p>
        </w:tc>
        <w:tc>
          <w:tcPr>
            <w:tcW w:type="dxa" w:w="1376"/>
          </w:tcPr>
          <w:p>
            <w:r>
              <w:t xml:space="preserve">Регионы/связанные запросы не снимались в этом замере (низкий объём при 3 параллельных терминах)</w:t>
            </w:r>
          </w:p>
        </w:tc>
      </w:tr>
      <w:tr>
        <w:tc>
          <w:tcPr>
            <w:tcW w:type="dxa" w:w="1376"/>
          </w:tcPr>
          <w:p>
            <w:r>
              <w:t xml:space="preserve">2026-09-17</w:t>
            </w:r>
          </w:p>
        </w:tc>
        <w:tc>
          <w:tcPr>
            <w:tcW w:type="dxa" w:w="1376"/>
          </w:tcPr>
          <w:p>
            <w:r>
              <w:t xml:space="preserve">Google Trends</w:t>
            </w:r>
          </w:p>
        </w:tc>
        <w:tc>
          <w:tcPr>
            <w:tcW w:type="dxa" w:w="1376"/>
          </w:tcPr>
          <w:p>
            <w:r>
              <w:t xml:space="preserve">PlantUML, text to diagram (отдельный замер, 2 термина)</w:t>
            </w:r>
          </w:p>
        </w:tc>
        <w:tc>
          <w:tcPr>
            <w:tcW w:type="dxa" w:w="1376"/>
          </w:tcPr>
          <w:p>
            <w:r>
              <w:t xml:space="preserve">Worldwide</w:t>
            </w:r>
          </w:p>
        </w:tc>
        <w:tc>
          <w:tcPr>
            <w:tcW w:type="dxa" w:w="1376"/>
          </w:tcPr>
          <w:p>
            <w:r>
              <w:t xml:space="preserve">5 лет</w:t>
            </w:r>
          </w:p>
        </w:tc>
        <w:tc>
          <w:tcPr>
            <w:tcW w:type="dxa" w:w="1376"/>
          </w:tcPr>
          <w:p>
            <w:r>
              <w:t xml:space="preserve">Все категории, Web Search</w:t>
            </w:r>
          </w:p>
        </w:tc>
        <w:tc>
          <w:tcPr>
            <w:tcW w:type="dxa" w:w="1376"/>
          </w:tcPr>
          <w:p>
            <w:r>
              <w:t xml:space="preserve">Снят специально для получения регионов и связанных запросов — см. раздел 3.3</w:t>
            </w:r>
          </w:p>
        </w:tc>
      </w:tr>
      <w:tr>
        <w:tc>
          <w:tcPr>
            <w:tcW w:type="dxa" w:w="1376"/>
          </w:tcPr>
          <w:p>
            <w:r>
              <w:t xml:space="preserve">2026-09-17/18</w:t>
            </w:r>
          </w:p>
        </w:tc>
        <w:tc>
          <w:tcPr>
            <w:tcW w:type="dxa" w:w="1376"/>
          </w:tcPr>
          <w:p>
            <w:r>
              <w:t xml:space="preserve">Яндекс Вордстат</w:t>
            </w:r>
          </w:p>
        </w:tc>
        <w:tc>
          <w:tcPr>
            <w:tcW w:type="dxa" w:w="1376"/>
          </w:tcPr>
          <w:p>
            <w:r>
              <w:t xml:space="preserve">—</w:t>
            </w:r>
          </w:p>
        </w:tc>
        <w:tc>
          <w:tcPr>
            <w:tcW w:type="dxa" w:w="1376"/>
          </w:tcPr>
          <w:p>
            <w:r>
              <w:t xml:space="preserve">—</w:t>
            </w:r>
          </w:p>
        </w:tc>
        <w:tc>
          <w:tcPr>
            <w:tcW w:type="dxa" w:w="1376"/>
          </w:tcPr>
          <w:p>
            <w:r>
              <w:t xml:space="preserve">—</w:t>
            </w:r>
          </w:p>
        </w:tc>
        <w:tc>
          <w:tcPr>
            <w:tcW w:type="dxa" w:w="1376"/>
          </w:tcPr>
          <w:p>
            <w:r>
              <w:t xml:space="preserve">—</w:t>
            </w:r>
          </w:p>
        </w:tc>
        <w:tc>
          <w:tcPr>
            <w:tcW w:type="dxa" w:w="1376"/>
          </w:tcPr>
          <w:p>
            <w:r>
              <w:t xml:space="preserve">Требует личного входа в Яндекс ID — не снято (см. раздел 10)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4. Оценка тренда, сезонности и циклов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Компонент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Наблюдение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Вывод</w:t>
            </w:r>
          </w:p>
        </w:tc>
      </w:tr>
      <w:tr>
        <w:tc>
          <w:tcPr>
            <w:tcW w:type="dxa" w:w="3212"/>
          </w:tcPr>
          <w:p>
            <w:r>
              <w:t xml:space="preserve">Тренд (количественно)</w:t>
            </w:r>
          </w:p>
        </w:tc>
        <w:tc>
          <w:tcPr>
            <w:tcW w:type="dxa" w:w="3212"/>
          </w:tcPr>
          <w:p>
            <w:r>
              <w:t xml:space="preserve">PlantUML: 16 → 53 пункта (19.09.2021 → 08.12.2024), рост ≈231% (расчёт — раздел 3.1)</w:t>
            </w:r>
          </w:p>
        </w:tc>
        <w:tc>
          <w:tcPr>
            <w:tcW w:type="dxa" w:w="3212"/>
          </w:tcPr>
          <w:p>
            <w:r>
              <w:t xml:space="preserve">Устойчивый многолетний рост, не единичный скачок — подтверждено на двух зафиксированных датах, а не «на глаз»</w:t>
            </w:r>
          </w:p>
        </w:tc>
      </w:tr>
      <w:tr>
        <w:tc>
          <w:tcPr>
            <w:tcW w:type="dxa" w:w="3212"/>
          </w:tcPr>
          <w:p>
            <w:r>
              <w:t xml:space="preserve">Сезонность (количественно) *(исправление — раньше вывод «низкозначима» был качественным, без расчёта)*</w:t>
            </w:r>
          </w:p>
        </w:tc>
        <w:tc>
          <w:tcPr>
            <w:tcW w:type="dxa" w:w="3212"/>
          </w:tcPr>
          <w:p>
            <w:r>
              <w:t xml:space="preserve">Устойчивый спад в последнюю неделю декабря </w:t>
            </w:r>
            <w:r>
              <w:rPr>
                <w:b/>
                <w:bCs/>
              </w:rPr>
              <w:t xml:space="preserve">каждый год</w:t>
            </w:r>
            <w:r>
              <w:t xml:space="preserve"> одного и того же порядка: 2021 — 9 пунктов против ~19 в среднем по кварталу (спад ≈53%); 2022 — 15 против ~24 (спад ≈38%); 2023 — 20 против ~34 (спад ≈41%)</w:t>
            </w:r>
          </w:p>
        </w:tc>
        <w:tc>
          <w:tcPr>
            <w:tcW w:type="dxa" w:w="3212"/>
          </w:tcPr>
          <w:p>
            <w:r>
              <w:t xml:space="preserve">Сезонность </w:t>
            </w:r>
            <w:r>
              <w:rPr>
                <w:b/>
                <w:bCs/>
              </w:rPr>
              <w:t xml:space="preserve">есть и статистически регулярна</w:t>
            </w:r>
            <w:r>
              <w:t xml:space="preserve"> (конец декабря — устойчивый спад 3 года подряд, не совпадение) — вывод предыдущей версии «сезонность низкозначима» был неверным при ближайшем рассмотрении данных; причина правдоподобна (конец года, отпуска разработчиков)</w:t>
            </w:r>
          </w:p>
        </w:tc>
      </w:tr>
      <w:tr>
        <w:tc>
          <w:tcPr>
            <w:tcW w:type="dxa" w:w="3212"/>
          </w:tcPr>
          <w:p>
            <w:r>
              <w:t xml:space="preserve">Циклические/разовые отклонения</w:t>
            </w:r>
          </w:p>
        </w:tc>
        <w:tc>
          <w:tcPr>
            <w:tcW w:type="dxa" w:w="3212"/>
          </w:tcPr>
          <w:p>
            <w:r>
              <w:t xml:space="preserve">Резкое падение </w:t>
            </w:r>
            <w:r>
              <w:rPr>
                <w:rFonts w:ascii="Consolas" w:cs="Consolas" w:eastAsia="Consolas" w:hAnsi="Consolas"/>
              </w:rPr>
              <w:t xml:space="preserve">PlantUML</w:t>
            </w:r>
            <w:r>
              <w:t xml:space="preserve"> в начале августа 2026 — вероятный артефакт неполных данных, требует перепроверки; резкий подъём </w:t>
            </w:r>
            <w:r>
              <w:rPr>
                <w:rFonts w:ascii="Consolas" w:cs="Consolas" w:eastAsia="Consolas" w:hAnsi="Consolas"/>
              </w:rPr>
              <w:t xml:space="preserve">text to diagram</w:t>
            </w:r>
            <w:r>
              <w:t xml:space="preserve"> летом 2025 — устойчивый (держится &gt;1 года), плюс подтверждён отдельным growing related-query </w:t>
            </w:r>
            <w:r>
              <w:rPr>
                <w:rFonts w:ascii="Consolas" w:cs="Consolas" w:eastAsia="Consolas" w:hAnsi="Consolas"/>
              </w:rPr>
              <w:t xml:space="preserve">text to diagram ai</w:t>
            </w:r>
            <w:r>
              <w:t xml:space="preserve"> (Breakout, раздел 3.3)</w:t>
            </w:r>
          </w:p>
        </w:tc>
        <w:tc>
          <w:tcPr>
            <w:tcW w:type="dxa" w:w="3212"/>
          </w:tcPr>
          <w:p>
            <w:r>
              <w:t xml:space="preserve">Нельзя принимать провал конца ряда за факт; можно принимать удержание аномалии &gt;12 месяцев и подтверждение через related queries за новый уровень тренда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5. Паспорт границ рынка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Вид границ</w:t>
            </w:r>
          </w:p>
        </w:tc>
        <w:tc>
          <w:tcPr>
            <w:tcW w:type="dxa" w:w="4819"/>
            <w:shd w:fill="D9D9D9" w:val="clear"/>
          </w:tcPr>
          <w:p>
            <w:r>
              <w:rPr>
                <w:b/>
                <w:bCs/>
              </w:rPr>
              <w:t xml:space="preserve">Что зафиксировано</w:t>
            </w:r>
          </w:p>
        </w:tc>
      </w:tr>
      <w:tr>
        <w:tc>
          <w:tcPr>
            <w:tcW w:type="dxa" w:w="4819"/>
          </w:tcPr>
          <w:p>
            <w:r>
              <w:t xml:space="preserve">Продуктовые границы</w:t>
            </w:r>
          </w:p>
        </w:tc>
        <w:tc>
          <w:tcPr>
            <w:tcW w:type="dxa" w:w="4819"/>
          </w:tcPr>
          <w:p>
            <w:r>
              <w:t xml:space="preserve">Инструменты создания и версионирования технических диаграмм через текстовый DSL с AI-генерацией: прямые аналоги — PlantUML, Mermaid, D2, Eraser.io; из анализа исключены чисто визуальные редакторы без DSL (draw.io, Visio, Lucidchart) — они конкуренты-заменители, не прямые аналоги</w:t>
            </w:r>
          </w:p>
        </w:tc>
      </w:tr>
      <w:tr>
        <w:tc>
          <w:tcPr>
            <w:tcW w:type="dxa" w:w="4819"/>
          </w:tcPr>
          <w:p>
            <w:r>
              <w:t xml:space="preserve">Клиентские границы</w:t>
            </w:r>
          </w:p>
        </w:tc>
        <w:tc>
          <w:tcPr>
            <w:tcW w:type="dxa" w:w="4819"/>
          </w:tcPr>
          <w:p>
            <w:r>
              <w:t xml:space="preserve">Команды разработки ПО, техписатели, системные аналитики, студенты и преподаватели курсов по моделированию — те, кто уже документирует архитектуру/процессы и хранит документацию в git-репозитории</w:t>
            </w:r>
          </w:p>
        </w:tc>
      </w:tr>
      <w:tr>
        <w:tc>
          <w:tcPr>
            <w:tcW w:type="dxa" w:w="4819"/>
          </w:tcPr>
          <w:p>
            <w:r>
              <w:t xml:space="preserve">Географические границы</w:t>
            </w:r>
          </w:p>
        </w:tc>
        <w:tc>
          <w:tcPr>
            <w:tcW w:type="dxa" w:w="4819"/>
          </w:tcPr>
          <w:p>
            <w:r>
              <w:t xml:space="preserve">Старт — русскоязычное IT-сообщество (Беларусь, шире — СНГ); рост — глобальный англоязычный рынок разработчиков (поскольку основные конкуренты и запросы англоязычные)</w:t>
            </w:r>
          </w:p>
        </w:tc>
      </w:tr>
      <w:tr>
        <w:tc>
          <w:tcPr>
            <w:tcW w:type="dxa" w:w="4819"/>
          </w:tcPr>
          <w:p>
            <w:r>
              <w:t xml:space="preserve">Канальные границы</w:t>
            </w:r>
          </w:p>
        </w:tc>
        <w:tc>
          <w:tcPr>
            <w:tcW w:type="dxa" w:w="4819"/>
          </w:tcPr>
          <w:p>
            <w:r>
              <w:t xml:space="preserve">Поиск (документация, сравнения инструментов), GitHub/GitLab (маркетплейсы экшенов и интеграций), сообщества разработчиков (Reddit, Hacker News, профильные Telegram-чаты), контент про AI-инструменты</w:t>
            </w:r>
          </w:p>
        </w:tc>
      </w:tr>
      <w:tr>
        <w:tc>
          <w:tcPr>
            <w:tcW w:type="dxa" w:w="4819"/>
          </w:tcPr>
          <w:p>
            <w:r>
              <w:t xml:space="preserve">Семантические границы</w:t>
            </w:r>
          </w:p>
        </w:tc>
        <w:tc>
          <w:tcPr>
            <w:tcW w:type="dxa" w:w="4819"/>
          </w:tcPr>
          <w:p>
            <w:r>
              <w:t xml:space="preserve">Рабочие группы запросов — см. раздел 2; исключены обучающие/учебные запросы без коммерческого намерения</w:t>
            </w:r>
          </w:p>
        </w:tc>
      </w:tr>
      <w:tr>
        <w:tc>
          <w:tcPr>
            <w:tcW w:type="dxa" w:w="4819"/>
          </w:tcPr>
          <w:p>
            <w:r>
              <w:t xml:space="preserve">Конкурентные и заменяющие решения</w:t>
            </w:r>
          </w:p>
        </w:tc>
        <w:tc>
          <w:tcPr>
            <w:tcW w:type="dxa" w:w="4819"/>
          </w:tcPr>
          <w:p>
            <w:r>
              <w:t xml:space="preserve">Прямые: PlantUML, Mermaid, D2, Eraser.io. Косвенные/заменители: draw.io, Lucidchart, Visio, ручное рисование в Figma, отказ от диаграмм в пользу текстовой документации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6. Сравнение инструментов</w:t>
      </w:r>
    </w:p>
    <w:p>
      <w:pPr>
        <w:spacing w:after="120"/>
      </w:pPr>
      <w:r>
        <w:t xml:space="preserve">Сопоставление проводилось только для Google Trends, поскольку доступ к Яндекс Вордстат не был получен (см. раздел 12). Внутри Google Trends сравнивались категорийные термины (низкий, стабильный интерес) и AI-ориентированные термины (растущий интерес) — вывод: спрос смещается от классических генераторов по нотации к генерации по естественному языку, что напрямую попадает в целевую функциональность DiagramCode.</w:t>
      </w:r>
    </w:p>
    <w:p>
      <w:pPr>
        <w:pStyle w:val="Heading1"/>
        <w:spacing w:after="120" w:before="240"/>
      </w:pPr>
      <w:r>
        <w:t xml:space="preserve">7. Вывод о наличии поискового интереса</w:t>
      </w:r>
    </w:p>
    <w:p>
      <w:pPr>
        <w:spacing w:after="120"/>
      </w:pPr>
      <w:r>
        <w:t xml:space="preserve">Поисковый спрос по теме подтверждает </w:t>
      </w:r>
      <w:r>
        <w:rPr>
          <w:b/>
          <w:bCs/>
        </w:rPr>
        <w:t xml:space="preserve">растущий и структурно смещающийся</w:t>
      </w:r>
      <w:r>
        <w:t xml:space="preserve"> интерес: базовая категория «диаграмма как код» стабильно растёт последние 5 лет (на примере лидера категории — </w:t>
      </w:r>
      <w:r>
        <w:rPr>
          <w:rFonts w:ascii="Consolas" w:cs="Consolas" w:eastAsia="Consolas" w:hAnsi="Consolas"/>
        </w:rPr>
        <w:t xml:space="preserve">PlantUML</w:t>
      </w:r>
      <w:r>
        <w:t xml:space="preserve">), а самый быстрорастущий сегмент внутри неё — запросы, связанные с AI-генерацией диаграммы по тексту, что напрямую совпадает с ключевой отличительной функцией DiagramCode (AI-режимы </w:t>
      </w:r>
      <w:r>
        <w:rPr>
          <w:rFonts w:ascii="Consolas" w:cs="Consolas" w:eastAsia="Consolas" w:hAnsi="Consolas"/>
        </w:rPr>
        <w:t xml:space="preserve">write</w:t>
      </w:r>
      <w:r>
        <w:t xml:space="preserve">/</w:t>
      </w:r>
      <w:r>
        <w:rPr>
          <w:rFonts w:ascii="Consolas" w:cs="Consolas" w:eastAsia="Consolas" w:hAnsi="Consolas"/>
        </w:rPr>
        <w:t xml:space="preserve">fix_code</w:t>
      </w:r>
      <w:r>
        <w:t xml:space="preserve">/</w:t>
      </w:r>
      <w:r>
        <w:rPr>
          <w:rFonts w:ascii="Consolas" w:cs="Consolas" w:eastAsia="Consolas" w:hAnsi="Consolas"/>
        </w:rPr>
        <w:t xml:space="preserve">fix_error</w:t>
      </w:r>
      <w:r>
        <w:t xml:space="preserve">/</w:t>
      </w:r>
      <w:r>
        <w:rPr>
          <w:rFonts w:ascii="Consolas" w:cs="Consolas" w:eastAsia="Consolas" w:hAnsi="Consolas"/>
        </w:rPr>
        <w:t xml:space="preserve">docs</w:t>
      </w:r>
      <w:r>
        <w:t xml:space="preserve">). Для первого релиза необходимо использовать в контенте и интерфейсе формулировки «diagram as code», «text to diagram», «AI diagram generator» — именно они показывают наибольшую и растущую коммерческую близость.</w:t>
      </w:r>
    </w:p>
    <w:p>
      <w:pPr>
        <w:pStyle w:val="Heading1"/>
        <w:spacing w:after="120" w:before="240"/>
      </w:pPr>
      <w:r>
        <w:t xml:space="preserve">7а. Оценочная матрица перспективности бизнес-идеи (0–18 баллов, ранее отсутствовала)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Критерий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Балл (0–3)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Обоснование</w:t>
            </w:r>
          </w:p>
        </w:tc>
      </w:tr>
      <w:tr>
        <w:tc>
          <w:tcPr>
            <w:tcW w:type="dxa" w:w="3212"/>
          </w:tcPr>
          <w:p>
            <w:r>
              <w:t xml:space="preserve">Устойчивость интереса</w:t>
            </w:r>
          </w:p>
        </w:tc>
        <w:tc>
          <w:tcPr>
            <w:tcW w:type="dxa" w:w="3212"/>
          </w:tcPr>
          <w:p>
            <w:r>
              <w:t xml:space="preserve">3</w:t>
            </w:r>
          </w:p>
        </w:tc>
        <w:tc>
          <w:tcPr>
            <w:tcW w:type="dxa" w:w="3212"/>
          </w:tcPr>
          <w:p>
            <w:r>
              <w:t xml:space="preserve">Рост подтверждён на реальных данных за 5 лет (раздел 3.1, 4)</w:t>
            </w:r>
          </w:p>
        </w:tc>
      </w:tr>
      <w:tr>
        <w:tc>
          <w:tcPr>
            <w:tcW w:type="dxa" w:w="3212"/>
          </w:tcPr>
          <w:p>
            <w:r>
              <w:t xml:space="preserve">Сезонность</w:t>
            </w:r>
          </w:p>
        </w:tc>
        <w:tc>
          <w:tcPr>
            <w:tcW w:type="dxa" w:w="3212"/>
          </w:tcPr>
          <w:p>
            <w:r>
              <w:t xml:space="preserve">2</w:t>
            </w:r>
          </w:p>
        </w:tc>
        <w:tc>
          <w:tcPr>
            <w:tcW w:type="dxa" w:w="3212"/>
          </w:tcPr>
          <w:p>
            <w:r>
              <w:t xml:space="preserve">Есть и регулярна, но умеренная (спад ~40-50% раз в год, не разрушает тренд)</w:t>
            </w:r>
          </w:p>
        </w:tc>
      </w:tr>
      <w:tr>
        <w:tc>
          <w:tcPr>
            <w:tcW w:type="dxa" w:w="3212"/>
          </w:tcPr>
          <w:p>
            <w:r>
              <w:t xml:space="preserve">Коммерческая направленность</w:t>
            </w:r>
          </w:p>
        </w:tc>
        <w:tc>
          <w:tcPr>
            <w:tcW w:type="dxa" w:w="3212"/>
          </w:tcPr>
          <w:p>
            <w:r>
              <w:t xml:space="preserve">2</w:t>
            </w:r>
          </w:p>
        </w:tc>
        <w:tc>
          <w:tcPr>
            <w:tcW w:type="dxa" w:w="3212"/>
          </w:tcPr>
          <w:p>
            <w:r>
              <w:t xml:space="preserve">Смешанная — часть запросов информационные («text to diagram»), но категорийный лидер (PlantUML) показывает устойчивое практическое использование, а не любопытство</w:t>
            </w:r>
          </w:p>
        </w:tc>
      </w:tr>
      <w:tr>
        <w:tc>
          <w:tcPr>
            <w:tcW w:type="dxa" w:w="3212"/>
          </w:tcPr>
          <w:p>
            <w:r>
              <w:t xml:space="preserve">Ширина поискового ядра</w:t>
            </w:r>
          </w:p>
        </w:tc>
        <w:tc>
          <w:tcPr>
            <w:tcW w:type="dxa" w:w="3212"/>
          </w:tcPr>
          <w:p>
            <w:r>
              <w:t xml:space="preserve">2</w:t>
            </w:r>
          </w:p>
        </w:tc>
        <w:tc>
          <w:tcPr>
            <w:tcW w:type="dxa" w:w="3212"/>
          </w:tcPr>
          <w:p>
            <w:r>
              <w:t xml:space="preserve">7 независимых групп запросов (раздел 2), но не все одинаково активны</w:t>
            </w:r>
          </w:p>
        </w:tc>
      </w:tr>
      <w:tr>
        <w:tc>
          <w:tcPr>
            <w:tcW w:type="dxa" w:w="3212"/>
          </w:tcPr>
          <w:p>
            <w:r>
              <w:t xml:space="preserve">Региональная пригодность</w:t>
            </w:r>
          </w:p>
        </w:tc>
        <w:tc>
          <w:tcPr>
            <w:tcW w:type="dxa" w:w="3212"/>
          </w:tcPr>
          <w:p>
            <w:r>
              <w:t xml:space="preserve">2</w:t>
            </w:r>
          </w:p>
        </w:tc>
        <w:tc>
          <w:tcPr>
            <w:tcW w:type="dxa" w:w="3212"/>
          </w:tcPr>
          <w:p>
            <w:r>
              <w:t xml:space="preserve">Беларусь #5 в мире по PlantUML — сильное совпадение с категорией; но AI-сегмент («text to diagram») географически не привязан к региону старта (раздел 3.3) — не максимальный балл именно из-за этого расхождения</w:t>
            </w:r>
          </w:p>
        </w:tc>
      </w:tr>
      <w:tr>
        <w:tc>
          <w:tcPr>
            <w:tcW w:type="dxa" w:w="3212"/>
          </w:tcPr>
          <w:p>
            <w:r>
              <w:t xml:space="preserve">Дифференциация от конкурентов</w:t>
            </w:r>
          </w:p>
        </w:tc>
        <w:tc>
          <w:tcPr>
            <w:tcW w:type="dxa" w:w="3212"/>
          </w:tcPr>
          <w:p>
            <w:r>
              <w:t xml:space="preserve">3</w:t>
            </w:r>
          </w:p>
        </w:tc>
        <w:tc>
          <w:tcPr>
            <w:tcW w:type="dxa" w:w="3212"/>
          </w:tcPr>
          <w:p>
            <w:r>
              <w:t xml:space="preserve">Полный охват инженерных нотаций не закрыт ни одним конкурентом (подтверждено в ЛР5)</w:t>
            </w:r>
          </w:p>
        </w:tc>
      </w:tr>
      <w:tr>
        <w:tc>
          <w:tcPr>
            <w:tcW w:type="dxa" w:w="3212"/>
          </w:tcPr>
          <w:p>
            <w:r>
              <w:rPr>
                <w:b/>
                <w:bCs/>
              </w:rPr>
              <w:t xml:space="preserve">Итого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14 из 18</w:t>
            </w:r>
          </w:p>
        </w:tc>
        <w:tc>
          <w:tcPr>
            <w:tcW w:type="dxa" w:w="3212"/>
          </w:tcPr>
          <w:p>
            <w:r>
              <w:t xml:space="preserve">Полоса «принять с сужением/уточнением»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Итоговое решение</w:t>
      </w:r>
      <w:r>
        <w:t xml:space="preserve"> *(явно отсутствовало в предыдущей версии — вывод останавливался на «создаёт основание для дальнейшего анализа», без выбора одного из 4 предусмотренных методикой вариантов)*: из четырёх вариантов методики (принять / </w:t>
      </w:r>
      <w:r>
        <w:rPr>
          <w:b/>
          <w:bCs/>
        </w:rPr>
        <w:t xml:space="preserve">сузить</w:t>
      </w:r>
      <w:r>
        <w:t xml:space="preserve"> / изменить территорию / отложить) выбирается </w:t>
      </w:r>
      <w:r>
        <w:rPr>
          <w:b/>
          <w:bCs/>
        </w:rPr>
        <w:t xml:space="preserve">«сузить»</w:t>
      </w:r>
      <w:r>
        <w:t xml:space="preserve"> — принять идею DiagramCode, но явно сузить позиционирование первого релиза до нишевой специализации (охват нотаций + AI-генерация), не пытаясь конкурировать по всему фронту с PlantUML/Mermaid/Eraser.io сразу, и заложить англоязычный контент для AI-функций с самого начала, а не только для «Волны 3+».</w:t>
      </w:r>
    </w:p>
    <w:p>
      <w:pPr>
        <w:pStyle w:val="Heading1"/>
        <w:spacing w:after="120" w:before="240"/>
      </w:pPr>
      <w:r>
        <w:t xml:space="preserve">8. Ограничения анализа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Trends — это относительный индекс (0-100), а не абсолютное число запросов; выводы о «росте интереса» относятся к динамике, а не к объёму рынка.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Яндекс Вордстат недоступен без личной авторизации в Яндекс ID — раздел не заполнен данными по русскоязычному сегменту напрямую (см. ниже, что нужно доснять).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Последняя точка ряда (последняя неполная неделя) может занижать значения — не делать выводов о спаде на основании только неё.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Разница между «интересом к категории» (PlantUML как аналог) и «интересом к самому DiagramCode» — бренд DiagramCode ещё не имеет собственного поискового следа, поэтому весь анализ раздела 3 — это анализ </w:t>
      </w:r>
      <w:r>
        <w:rPr>
          <w:b/>
          <w:bCs/>
        </w:rPr>
        <w:t xml:space="preserve">категории</w:t>
      </w:r>
      <w:r>
        <w:t xml:space="preserve">, а не продукта; после запуска потребуется повторный анализ уже по бренду.</w:t>
      </w:r>
    </w:p>
    <w:p>
      <w:pPr>
        <w:pStyle w:val="Heading1"/>
        <w:spacing w:after="120" w:before="240"/>
      </w:pPr>
      <w:r>
        <w:t xml:space="preserve">9. Коммерческая формулировка перехода к анализу рынка</w:t>
      </w:r>
    </w:p>
    <w:p>
      <w:pPr>
        <w:spacing w:after="120"/>
      </w:pPr>
      <w:r>
        <w:t xml:space="preserve">Выявленный устойчивый рост интереса к категории «диаграмма как код» и резкий структурный сдвиг спроса в сторону AI-генерации диаграмм по тексту создают основание для дальнейшего рыночного анализа: оценки объёма рынка (ЛР2-3), конкурентной среды (ЛР4-5) и проверки коммерческой реализуемости идеи DiagramCode в выбранных границах рынка.</w:t>
      </w:r>
    </w:p>
    <w:p>
      <w:pPr>
        <w:pStyle w:val="Heading1"/>
        <w:spacing w:after="120" w:before="240"/>
      </w:pPr>
      <w:r>
        <w:t xml:space="preserve">10. Что нужно доснять самой (не может быть сделано без вашего логина)</w:t>
      </w:r>
    </w:p>
    <w:p>
      <w:pPr>
        <w:spacing w:after="120"/>
      </w:pPr>
      <w:r>
        <w:rPr>
          <w:i/>
          <w:iCs/>
        </w:rPr>
        <w:t xml:space="preserve">Инструкция и промпт по вашему запросу — см. [[feedback-screenshots-and-images]] в памяти проекта: раз в задаче нужен скриншот из системы, куда у меня нет доступа, я не подставляю выдуманные цифры, а прошу снять самой.</w:t>
      </w:r>
    </w:p>
    <w:p>
      <w:pPr>
        <w:spacing w:after="120"/>
      </w:pPr>
      <w:r>
        <w:rPr>
          <w:b/>
          <w:bCs/>
        </w:rPr>
        <w:t xml:space="preserve">Что снять</w:t>
      </w:r>
      <w:r>
        <w:t xml:space="preserve">: частотность запросов в Яндекс Вордстат по тем же группам запросов из раздела 2 (минимум: «диаграмма как код», «UML генератор онлайн», «ERD онлайн конструктор», «AI генератор диаграмм»).</w:t>
      </w:r>
    </w:p>
    <w:p>
      <w:pPr>
        <w:spacing w:after="120"/>
      </w:pPr>
      <w:r>
        <w:rPr>
          <w:b/>
          <w:bCs/>
        </w:rPr>
        <w:t xml:space="preserve">Как снять, пошагово</w:t>
      </w:r>
      <w:r>
        <w:t xml:space="preserve">: 1. Открыть [wordstat.yandex.com](https://wordstat.yandex.com) и войти под своим Яндекс ID (обычным аккаунтом, платный доступ не нужен для базовой частотности). 2. В поле поиска ввести первый запрос из списка выше, регион — «Беларусь» (или «Все регионы», если нужно и сравнение). 3. Сделать скриншот основной таблицы: сам запрос, столбец «Показов в месяц», блок «Похожие запросы» и блок «История запросов» (вкладка рядом с основной таблицей — показывает график по месяцам/неделям). 4. Повторить пункты 2-3 для каждого запроса из семантического ядра (минимум 4 запроса). 5. Сохранить каждый скриншот в </w:t>
      </w:r>
      <w:r>
        <w:rPr>
          <w:rFonts w:ascii="Consolas" w:cs="Consolas" w:eastAsia="Consolas" w:hAnsi="Consolas"/>
        </w:rPr>
        <w:t xml:space="preserve">E:\ИИТ\ЭлектронныйБизнес\labs\lab1-demand\screenshots\</w:t>
      </w:r>
      <w:r>
        <w:t xml:space="preserve"> с именем вида </w:t>
      </w:r>
      <w:r>
        <w:rPr>
          <w:rFonts w:ascii="Consolas" w:cs="Consolas" w:eastAsia="Consolas" w:hAnsi="Consolas"/>
        </w:rPr>
        <w:t xml:space="preserve">wordstat_&lt;запрос&gt;.png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Подпись под рисунком</w:t>
      </w:r>
      <w:r>
        <w:t xml:space="preserve"> (менять </w:t>
      </w:r>
      <w:r>
        <w:rPr>
          <w:rFonts w:ascii="Consolas" w:cs="Consolas" w:eastAsia="Consolas" w:hAnsi="Consolas"/>
        </w:rPr>
        <w:t xml:space="preserve">&lt;запрос&gt;</w:t>
      </w:r>
      <w:r>
        <w:t xml:space="preserve"> и номер рисунка по порядку): &gt; Рисунок 3.N — Частотность запроса «</w:t>
      </w:r>
      <w:r>
        <w:rPr>
          <w:rFonts w:ascii="Consolas" w:cs="Consolas" w:eastAsia="Consolas" w:hAnsi="Consolas"/>
        </w:rPr>
        <w:t xml:space="preserve">&lt;запрос&gt;</w:t>
      </w:r>
      <w:r>
        <w:t xml:space="preserve">» в Яндекс Вордстат (регион: Беларусь, дата снятия: </w:t>
      </w:r>
      <w:r>
        <w:rPr>
          <w:rFonts w:ascii="Consolas" w:cs="Consolas" w:eastAsia="Consolas" w:hAnsi="Consolas"/>
        </w:rPr>
        <w:t xml:space="preserve">&lt;дата&gt;</w:t>
      </w:r>
      <w:r>
        <w:t xml:space="preserve">)</w:t>
      </w:r>
    </w:p>
    <w:p>
      <w:pPr>
        <w:spacing w:after="120"/>
      </w:pPr>
      <w:r>
        <w:t xml:space="preserve">Это не изображение для генерации — это реальный скриншот интерфейса Вордстата, поэтому промпт для генерации тут неприменим; нужен именно живой снимок экрана после вашего входа в аккаунт.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2026-09-22T13:04:14.784Z</dcterms:created>
  <dcterms:modified xsi:type="dcterms:W3CDTF">2026-09-22T13:04:14.786Z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