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ЛР5. Анализ конкурентов по сайтам, уровни конкуренции</w:t>
      </w:r>
    </w:p>
    <w:p>
      <w:pPr>
        <w:spacing w:after="120"/>
      </w:pPr>
      <w:r>
        <w:t xml:space="preserve">Объект анализа: </w:t>
      </w:r>
      <w:r>
        <w:rPr>
          <w:b/>
          <w:bCs/>
        </w:rPr>
        <w:t xml:space="preserve">DiagramCode</w:t>
      </w:r>
      <w:r>
        <w:t xml:space="preserve">. Данные о конкурентах — с их официальных сайтов и из SimilarWeb (ЛР2-3), дата снятия везде </w:t>
      </w:r>
      <w:r>
        <w:rPr>
          <w:b/>
          <w:bCs/>
        </w:rPr>
        <w:t xml:space="preserve">2026-09-17</w:t>
      </w:r>
      <w:r>
        <w:t xml:space="preserve">, если не указано иное.</w:t>
      </w:r>
    </w:p>
    <w:p>
      <w:pPr>
        <w:spacing w:after="120"/>
      </w:pPr>
      <w:r>
        <w:rPr>
          <w:i/>
          <w:iCs/>
        </w:rPr>
        <w:t xml:space="preserve">**Исправлено после ревизии совета**: предыдущая версия использовала самодельную 6-критериальную шкалу 0-2 вместо реальной 8-критериальной формулы методики; арифметика взвешенных сумм не сходилась (6 из 7 значений); модели Левитта и Кано (обязательные по шаблону `Шаблон_анализа_конкурентов_Левитт_Кано.xlsx`) не применялись вообще; использовались только 3 из 7 уровней конкуренции; draw.io/Lucidchart/Visio были ошибочно объединены в одну строку. Всё ниже — переделано.</w:t>
      </w:r>
    </w:p>
    <w:p>
      <w:pPr>
        <w:pStyle w:val="Heading1"/>
        <w:spacing w:after="120" w:before="240"/>
      </w:pPr>
      <w:r>
        <w:t xml:space="preserve">1. Классификация по уровням конкуренции — реальная формула методики (§4, §7)</w:t>
      </w:r>
    </w:p>
    <w:p>
      <w:pPr>
        <w:spacing w:after="120"/>
      </w:pPr>
      <w:r>
        <w:rPr>
          <w:b/>
          <w:bCs/>
        </w:rPr>
        <w:t xml:space="preserve">Формула</w:t>
      </w:r>
      <w:r>
        <w:t xml:space="preserve">: индекс = (Σ оценка_критерия × вес) / 4 × 100, шкала оценки каждого критерия — 0–4. </w:t>
      </w:r>
      <w:r>
        <w:rPr>
          <w:b/>
          <w:bCs/>
        </w:rPr>
        <w:t xml:space="preserve">Веса</w:t>
      </w:r>
      <w:r>
        <w:t xml:space="preserve">: Задача 0,22 · Сегмент 0,18 · Продукт 0,18 · Заменяемость 0,18 · Каналы 0,10 · Цена 0,08 · Результат 0,04 · Видимость 0,02. </w:t>
      </w:r>
      <w:r>
        <w:rPr>
          <w:b/>
          <w:bCs/>
        </w:rPr>
        <w:t xml:space="preserve">Пороги</w:t>
      </w:r>
      <w:r>
        <w:t xml:space="preserve">: 80–100 Прямой · 65–79 Близкий · 50–64 Косвенный · 35–49 Заменитель · 20–34 Потенциальный · 0–19 Исключить.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tblHeader/>
        </w:trPr>
        <w:tc>
          <w:tcPr>
            <w:tcW w:type="dxa" w:w="876"/>
            <w:shd w:fill="D9D9D9" w:val="clear"/>
          </w:tcPr>
          <w:p>
            <w:r>
              <w:rPr>
                <w:b/>
                <w:bCs/>
              </w:rPr>
              <w:t xml:space="preserve">Конкурент</w:t>
            </w:r>
          </w:p>
        </w:tc>
        <w:tc>
          <w:tcPr>
            <w:tcW w:type="dxa" w:w="876"/>
            <w:shd w:fill="D9D9D9" w:val="clear"/>
          </w:tcPr>
          <w:p>
            <w:r>
              <w:rPr>
                <w:b/>
                <w:bCs/>
              </w:rPr>
              <w:t xml:space="preserve">Задача</w:t>
            </w:r>
          </w:p>
        </w:tc>
        <w:tc>
          <w:tcPr>
            <w:tcW w:type="dxa" w:w="876"/>
            <w:shd w:fill="D9D9D9" w:val="clear"/>
          </w:tcPr>
          <w:p>
            <w:r>
              <w:rPr>
                <w:b/>
                <w:bCs/>
              </w:rPr>
              <w:t xml:space="preserve">Сегмент</w:t>
            </w:r>
          </w:p>
        </w:tc>
        <w:tc>
          <w:tcPr>
            <w:tcW w:type="dxa" w:w="876"/>
            <w:shd w:fill="D9D9D9" w:val="clear"/>
          </w:tcPr>
          <w:p>
            <w:r>
              <w:rPr>
                <w:b/>
                <w:bCs/>
              </w:rPr>
              <w:t xml:space="preserve">Продукт</w:t>
            </w:r>
          </w:p>
        </w:tc>
        <w:tc>
          <w:tcPr>
            <w:tcW w:type="dxa" w:w="876"/>
            <w:shd w:fill="D9D9D9" w:val="clear"/>
          </w:tcPr>
          <w:p>
            <w:r>
              <w:rPr>
                <w:b/>
                <w:bCs/>
              </w:rPr>
              <w:t xml:space="preserve">Замен.</w:t>
            </w:r>
          </w:p>
        </w:tc>
        <w:tc>
          <w:tcPr>
            <w:tcW w:type="dxa" w:w="876"/>
            <w:shd w:fill="D9D9D9" w:val="clear"/>
          </w:tcPr>
          <w:p>
            <w:r>
              <w:rPr>
                <w:b/>
                <w:bCs/>
              </w:rPr>
              <w:t xml:space="preserve">Каналы</w:t>
            </w:r>
          </w:p>
        </w:tc>
        <w:tc>
          <w:tcPr>
            <w:tcW w:type="dxa" w:w="876"/>
            <w:shd w:fill="D9D9D9" w:val="clear"/>
          </w:tcPr>
          <w:p>
            <w:r>
              <w:rPr>
                <w:b/>
                <w:bCs/>
              </w:rPr>
              <w:t xml:space="preserve">Цена</w:t>
            </w:r>
          </w:p>
        </w:tc>
        <w:tc>
          <w:tcPr>
            <w:tcW w:type="dxa" w:w="876"/>
            <w:shd w:fill="D9D9D9" w:val="clear"/>
          </w:tcPr>
          <w:p>
            <w:r>
              <w:rPr>
                <w:b/>
                <w:bCs/>
              </w:rPr>
              <w:t xml:space="preserve">Результат</w:t>
            </w:r>
          </w:p>
        </w:tc>
        <w:tc>
          <w:tcPr>
            <w:tcW w:type="dxa" w:w="876"/>
            <w:shd w:fill="D9D9D9" w:val="clear"/>
          </w:tcPr>
          <w:p>
            <w:r>
              <w:rPr>
                <w:b/>
                <w:bCs/>
              </w:rPr>
              <w:t xml:space="preserve">Видим.</w:t>
            </w:r>
          </w:p>
        </w:tc>
        <w:tc>
          <w:tcPr>
            <w:tcW w:type="dxa" w:w="876"/>
            <w:shd w:fill="D9D9D9" w:val="clear"/>
          </w:tcPr>
          <w:p>
            <w:r>
              <w:rPr>
                <w:b/>
                <w:bCs/>
              </w:rPr>
              <w:t xml:space="preserve">Индекс</w:t>
            </w:r>
          </w:p>
        </w:tc>
        <w:tc>
          <w:tcPr>
            <w:tcW w:type="dxa" w:w="876"/>
            <w:shd w:fill="D9D9D9" w:val="clear"/>
          </w:tcPr>
          <w:p>
            <w:r>
              <w:rPr>
                <w:b/>
                <w:bCs/>
              </w:rPr>
              <w:t xml:space="preserve">Уровень</w:t>
            </w:r>
          </w:p>
        </w:tc>
      </w:tr>
      <w:tr>
        <w:tc>
          <w:tcPr>
            <w:tcW w:type="dxa" w:w="876"/>
          </w:tcPr>
          <w:p>
            <w:r>
              <w:t xml:space="preserve">PlantUML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rPr>
                <w:b/>
                <w:bCs/>
              </w:rPr>
              <w:t xml:space="preserve">90,0</w:t>
            </w:r>
          </w:p>
        </w:tc>
        <w:tc>
          <w:tcPr>
            <w:tcW w:type="dxa" w:w="876"/>
          </w:tcPr>
          <w:p>
            <w:r>
              <w:t xml:space="preserve">Прямой</w:t>
            </w:r>
          </w:p>
        </w:tc>
      </w:tr>
      <w:tr>
        <w:tc>
          <w:tcPr>
            <w:tcW w:type="dxa" w:w="876"/>
          </w:tcPr>
          <w:p>
            <w:r>
              <w:t xml:space="preserve">Mermaid (open-source ядро)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rPr>
                <w:b/>
                <w:bCs/>
              </w:rPr>
              <w:t xml:space="preserve">90,0</w:t>
            </w:r>
          </w:p>
        </w:tc>
        <w:tc>
          <w:tcPr>
            <w:tcW w:type="dxa" w:w="876"/>
          </w:tcPr>
          <w:p>
            <w:r>
              <w:t xml:space="preserve">Прямой</w:t>
            </w:r>
          </w:p>
        </w:tc>
      </w:tr>
      <w:tr>
        <w:tc>
          <w:tcPr>
            <w:tcW w:type="dxa" w:w="876"/>
          </w:tcPr>
          <w:p>
            <w:r>
              <w:t xml:space="preserve">MermaidChart (коммерческий)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rPr>
                <w:b/>
                <w:bCs/>
              </w:rPr>
              <w:t xml:space="preserve">83,5</w:t>
            </w:r>
          </w:p>
        </w:tc>
        <w:tc>
          <w:tcPr>
            <w:tcW w:type="dxa" w:w="876"/>
          </w:tcPr>
          <w:p>
            <w:r>
              <w:t xml:space="preserve">Прямой</w:t>
            </w:r>
          </w:p>
        </w:tc>
      </w:tr>
      <w:tr>
        <w:tc>
          <w:tcPr>
            <w:tcW w:type="dxa" w:w="876"/>
          </w:tcPr>
          <w:p>
            <w:r>
              <w:t xml:space="preserve">Eraser.io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rPr>
                <w:b/>
                <w:bCs/>
              </w:rPr>
              <w:t xml:space="preserve">93,0</w:t>
            </w:r>
          </w:p>
        </w:tc>
        <w:tc>
          <w:tcPr>
            <w:tcW w:type="dxa" w:w="876"/>
          </w:tcPr>
          <w:p>
            <w:r>
              <w:t xml:space="preserve">Прямой</w:t>
            </w:r>
          </w:p>
        </w:tc>
      </w:tr>
      <w:tr>
        <w:tc>
          <w:tcPr>
            <w:tcW w:type="dxa" w:w="876"/>
          </w:tcPr>
          <w:p>
            <w:r>
              <w:t xml:space="preserve">D2 (d2lang.com)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rPr>
                <w:b/>
                <w:bCs/>
              </w:rPr>
              <w:t xml:space="preserve">79,5</w:t>
            </w:r>
          </w:p>
        </w:tc>
        <w:tc>
          <w:tcPr>
            <w:tcW w:type="dxa" w:w="876"/>
          </w:tcPr>
          <w:p>
            <w:r>
              <w:t xml:space="preserve">Близкий</w:t>
            </w:r>
          </w:p>
        </w:tc>
      </w:tr>
      <w:tr>
        <w:tc>
          <w:tcPr>
            <w:tcW w:type="dxa" w:w="876"/>
          </w:tcPr>
          <w:p>
            <w:r>
              <w:t xml:space="preserve">draw.io (app.diagrams.net)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1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rPr>
                <w:b/>
                <w:bCs/>
              </w:rPr>
              <w:t xml:space="preserve">67,5</w:t>
            </w:r>
          </w:p>
        </w:tc>
        <w:tc>
          <w:tcPr>
            <w:tcW w:type="dxa" w:w="876"/>
          </w:tcPr>
          <w:p>
            <w:r>
              <w:t xml:space="preserve">Близкий</w:t>
            </w:r>
          </w:p>
        </w:tc>
      </w:tr>
      <w:tr>
        <w:tc>
          <w:tcPr>
            <w:tcW w:type="dxa" w:w="876"/>
          </w:tcPr>
          <w:p>
            <w:r>
              <w:t xml:space="preserve">Lucidchart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1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rPr>
                <w:b/>
                <w:bCs/>
              </w:rPr>
              <w:t xml:space="preserve">63,5</w:t>
            </w:r>
          </w:p>
        </w:tc>
        <w:tc>
          <w:tcPr>
            <w:tcW w:type="dxa" w:w="876"/>
          </w:tcPr>
          <w:p>
            <w:r>
              <w:t xml:space="preserve">Косвенный</w:t>
            </w:r>
          </w:p>
        </w:tc>
      </w:tr>
      <w:tr>
        <w:tc>
          <w:tcPr>
            <w:tcW w:type="dxa" w:w="876"/>
          </w:tcPr>
          <w:p>
            <w:r>
              <w:t xml:space="preserve">Microsoft Visio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1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1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rPr>
                <w:b/>
                <w:bCs/>
              </w:rPr>
              <w:t xml:space="preserve">49,5</w:t>
            </w:r>
          </w:p>
        </w:tc>
        <w:tc>
          <w:tcPr>
            <w:tcW w:type="dxa" w:w="876"/>
          </w:tcPr>
          <w:p>
            <w:r>
              <w:t xml:space="preserve">Заменитель</w:t>
            </w:r>
          </w:p>
        </w:tc>
      </w:tr>
      <w:tr>
        <w:tc>
          <w:tcPr>
            <w:tcW w:type="dxa" w:w="876"/>
          </w:tcPr>
          <w:p>
            <w:r>
              <w:t xml:space="preserve">Универсальные AI-ассистенты (ChatGPT/Claude/Gemini), код диаграммы генерируется вручную без рендера внутри инструмента</w:t>
            </w:r>
          </w:p>
        </w:tc>
        <w:tc>
          <w:tcPr>
            <w:tcW w:type="dxa" w:w="876"/>
          </w:tcPr>
          <w:p>
            <w:r>
              <w:t xml:space="preserve">1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0</w:t>
            </w:r>
          </w:p>
        </w:tc>
        <w:tc>
          <w:tcPr>
            <w:tcW w:type="dxa" w:w="876"/>
          </w:tcPr>
          <w:p>
            <w:r>
              <w:t xml:space="preserve">1</w:t>
            </w:r>
          </w:p>
        </w:tc>
        <w:tc>
          <w:tcPr>
            <w:tcW w:type="dxa" w:w="876"/>
          </w:tcPr>
          <w:p>
            <w:r>
              <w:t xml:space="preserve">1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0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rPr>
                <w:b/>
                <w:bCs/>
              </w:rPr>
              <w:t xml:space="preserve">26,5</w:t>
            </w:r>
          </w:p>
        </w:tc>
        <w:tc>
          <w:tcPr>
            <w:tcW w:type="dxa" w:w="876"/>
          </w:tcPr>
          <w:p>
            <w:r>
              <w:t xml:space="preserve">Потенциальный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Разбивка draw.io / Lucidchart / Visio на три отдельные строки (в прошлой версии — одна строка) — это и есть исправление ошибки «оценивать бренд, а не конкретный товар»: у них три разных бизнес-модели (бесплатный open-source / SaaS-подписка / десктопная лицензия Microsoft 365), и формула это отражает — три разных уровня конкуренции.</w:t>
      </w:r>
    </w:p>
    <w:p>
      <w:pPr>
        <w:pStyle w:val="Heading2"/>
        <w:spacing w:after="100" w:before="200"/>
      </w:pPr>
      <w:r>
        <w:t xml:space="preserve">Компании для наблюдения за практиками (эталонные, не оцениваются по формуле выше)</w:t>
      </w:r>
    </w:p>
    <w:p>
      <w:pPr>
        <w:spacing w:after="120"/>
      </w:pPr>
      <w:r>
        <w:rPr>
          <w:b/>
          <w:bCs/>
        </w:rPr>
        <w:t xml:space="preserve">Structurizr</w:t>
      </w:r>
      <w:r>
        <w:t xml:space="preserve"> (C4-model, «архитектура как код») — не прямой конкурент (другой набор нотаций, фокус на архитектуре ПО, а не на UML/ERD/IDEF в целом), но эталон по практике: DSL + автогенерация нескольких уровней диаграмм (Context/Container/Component) из одного описания — практика, которую стоит перенять для decomposition-модели IDEF0/DFD DiagramCode.</w:t>
      </w:r>
    </w:p>
    <w:p>
      <w:pPr>
        <w:pStyle w:val="Heading2"/>
        <w:spacing w:after="100" w:before="200"/>
      </w:pPr>
      <w:r>
        <w:t xml:space="preserve">Исключённые компании</w:t>
      </w:r>
    </w:p>
    <w:p>
      <w:pPr>
        <w:spacing w:after="120"/>
      </w:pPr>
      <w:r>
        <w:rPr>
          <w:b/>
          <w:bCs/>
        </w:rPr>
        <w:t xml:space="preserve">Ручное рисование на бумаге/доске, Figma, отказ от диаграмм</w:t>
      </w:r>
      <w:r>
        <w:t xml:space="preserve"> — исключены из формальной классификации: это поведенческие альтернативы, а не компании/продукты, к которым применима методика оценки конкурента. Упомянуты в разделе 3 («заменяющее поведение»), но не получают числовой индекс. </w:t>
      </w:r>
      <w:r>
        <w:rPr>
          <w:b/>
          <w:bCs/>
        </w:rPr>
        <w:t xml:space="preserve">Microsoft Word/PowerPoint как способ «нарисовать схему»</w:t>
      </w:r>
      <w:r>
        <w:t xml:space="preserve"> — исключены по той же причине и потому что не специализированы на диаграммах вовсе.</w:t>
      </w:r>
    </w:p>
    <w:p>
      <w:pPr>
        <w:pStyle w:val="Heading1"/>
        <w:spacing w:after="120" w:before="240"/>
      </w:pPr>
      <w:r>
        <w:t xml:space="preserve">2. Реконструкция бизнес-моделей ключевых конкурентов</w:t>
      </w:r>
    </w:p>
    <w:p>
      <w:pPr>
        <w:spacing w:after="120"/>
      </w:pPr>
      <w:r>
        <w:t xml:space="preserve">Для каждого — оценка уверенности вывода: </w:t>
      </w:r>
      <w:r>
        <w:rPr>
          <w:b/>
          <w:bCs/>
        </w:rPr>
        <w:t xml:space="preserve">высокая</w:t>
      </w:r>
      <w:r>
        <w:t xml:space="preserve"> (прямая цитата/цифра с сайта, дата зафиксирована), </w:t>
      </w:r>
      <w:r>
        <w:rPr>
          <w:b/>
          <w:bCs/>
        </w:rPr>
        <w:t xml:space="preserve">средняя</w:t>
      </w:r>
      <w:r>
        <w:t xml:space="preserve"> (агрегировано из нескольких страниц), </w:t>
      </w:r>
      <w:r>
        <w:rPr>
          <w:b/>
          <w:bCs/>
        </w:rPr>
        <w:t xml:space="preserve">низкая</w:t>
      </w:r>
      <w:r>
        <w:t xml:space="preserve"> (оценка по косвенным признакам).</w:t>
      </w:r>
    </w:p>
    <w:p>
      <w:pPr>
        <w:pStyle w:val="Heading2"/>
        <w:spacing w:after="100" w:before="200"/>
      </w:pPr>
      <w:r>
        <w:t xml:space="preserve">PlantUML — Прямой конкурент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Блок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Содержание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Уверенность</w:t>
            </w:r>
          </w:p>
        </w:tc>
      </w:tr>
      <w:tr>
        <w:tc>
          <w:tcPr>
            <w:tcW w:type="dxa" w:w="3212"/>
          </w:tcPr>
          <w:p>
            <w:r>
              <w:t xml:space="preserve">Ценностное предложение</w:t>
            </w:r>
          </w:p>
        </w:tc>
        <w:tc>
          <w:tcPr>
            <w:tcW w:type="dxa" w:w="3212"/>
          </w:tcPr>
          <w:p>
            <w:r>
              <w:t xml:space="preserve">Бесплатный, открытый, работает офлайн/локально и в браузере — «No server. No tokens. No tracking» (дословная цитата с plantuml.com, 2026-09-17)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Клиентские сегменты</w:t>
            </w:r>
          </w:p>
        </w:tc>
        <w:tc>
          <w:tcPr>
            <w:tcW w:type="dxa" w:w="3212"/>
          </w:tcPr>
          <w:p>
            <w:r>
              <w:t xml:space="preserve">Разработчики и техписатели, встраивающие диаграммы в код/CI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Каналы</w:t>
            </w:r>
          </w:p>
        </w:tc>
        <w:tc>
          <w:tcPr>
            <w:tcW w:type="dxa" w:w="3212"/>
          </w:tcPr>
          <w:p>
            <w:r>
              <w:t xml:space="preserve">Органический поиск, IDE-плагины (IntelliJ, VS Code), новое официальное браузерное расширение для GitHub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Модель доходов</w:t>
            </w:r>
          </w:p>
        </w:tc>
        <w:tc>
          <w:tcPr>
            <w:tcW w:type="dxa" w:w="3212"/>
          </w:tcPr>
          <w:p>
            <w:r>
              <w:t xml:space="preserve">Отсутствует — open-source без монетизации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Ключевые ресурсы</w:t>
            </w:r>
          </w:p>
        </w:tc>
        <w:tc>
          <w:tcPr>
            <w:tcW w:type="dxa" w:w="3212"/>
          </w:tcPr>
          <w:p>
            <w:r>
              <w:t xml:space="preserve">JS-движок рендера в браузере, обширная документация языка</w:t>
            </w:r>
          </w:p>
        </w:tc>
        <w:tc>
          <w:tcPr>
            <w:tcW w:type="dxa" w:w="3212"/>
          </w:tcPr>
          <w:p>
            <w:r>
              <w:t xml:space="preserve">средняя</w:t>
            </w:r>
          </w:p>
        </w:tc>
      </w:tr>
      <w:tr>
        <w:tc>
          <w:tcPr>
            <w:tcW w:type="dxa" w:w="3212"/>
          </w:tcPr>
          <w:p>
            <w:r>
              <w:t xml:space="preserve">Партнёрства/экосистема</w:t>
            </w:r>
          </w:p>
        </w:tc>
        <w:tc>
          <w:tcPr>
            <w:tcW w:type="dxa" w:w="3212"/>
          </w:tcPr>
          <w:p>
            <w:r>
              <w:t xml:space="preserve">Встраивание в десятки IDE и CI-инструментов как библиотека</w:t>
            </w:r>
          </w:p>
        </w:tc>
        <w:tc>
          <w:tcPr>
            <w:tcW w:type="dxa" w:w="3212"/>
          </w:tcPr>
          <w:p>
            <w:r>
              <w:t xml:space="preserve">средняя</w:t>
            </w:r>
          </w:p>
        </w:tc>
      </w:tr>
      <w:tr>
        <w:tc>
          <w:tcPr>
            <w:tcW w:type="dxa" w:w="3212"/>
          </w:tcPr>
          <w:p>
            <w:r>
              <w:t xml:space="preserve">Ограничение анализа</w:t>
            </w:r>
          </w:p>
        </w:tc>
        <w:tc>
          <w:tcPr>
            <w:tcW w:type="dxa" w:w="3212"/>
          </w:tcPr>
          <w:p>
            <w:r>
              <w:t xml:space="preserve">Реальное число активных пользователей не публикуется — виден только сайт-трафик (SimilarWeb, ЛР2-3), который системно занижен из-за локального использования</w:t>
            </w:r>
          </w:p>
        </w:tc>
        <w:tc>
          <w:tcPr>
            <w:tcW w:type="dxa" w:w="3212"/>
          </w:tcPr>
          <w:p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Eraser.io — Прямой конкурент (наиболее близкий аналог)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Блок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Содержание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Уверенность</w:t>
            </w:r>
          </w:p>
        </w:tc>
      </w:tr>
      <w:tr>
        <w:tc>
          <w:tcPr>
            <w:tcW w:type="dxa" w:w="3212"/>
          </w:tcPr>
          <w:p>
            <w:r>
              <w:t xml:space="preserve">Ценностное предложение</w:t>
            </w:r>
          </w:p>
        </w:tc>
        <w:tc>
          <w:tcPr>
            <w:tcW w:type="dxa" w:w="3212"/>
          </w:tcPr>
          <w:p>
            <w:r>
              <w:t xml:space="preserve">«Diagram-as-code» + AI-диаграммы + бесконечный канвас + markdown-заметки в одном инструменте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Клиентские сегменты</w:t>
            </w:r>
          </w:p>
        </w:tc>
        <w:tc>
          <w:tcPr>
            <w:tcW w:type="dxa" w:w="3212"/>
          </w:tcPr>
          <w:p>
            <w:r>
              <w:t xml:space="preserve">От индивидуальных разработчиков (Free) до организаций (Enterprise) — явная сегментация по тарифной сетке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Каналы</w:t>
            </w:r>
          </w:p>
        </w:tc>
        <w:tc>
          <w:tcPr>
            <w:tcW w:type="dxa" w:w="3212"/>
          </w:tcPr>
          <w:p>
            <w:r>
              <w:t xml:space="preserve">Прямые продажи + product-led growth через freemium с ограничением в 3 AI-диаграммы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Модель доходов</w:t>
            </w:r>
          </w:p>
        </w:tc>
        <w:tc>
          <w:tcPr>
            <w:tcW w:type="dxa" w:w="3212"/>
          </w:tcPr>
          <w:p>
            <w:r>
              <w:t xml:space="preserve">Подписка по местам: Free $0 → Starter $15-20 → Business $45-60 → Enterprise по запросу; лимит AI-кредитов растёт по тарифу (3→40→250→∞)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Ключевые ресурсы</w:t>
            </w:r>
          </w:p>
        </w:tc>
        <w:tc>
          <w:tcPr>
            <w:tcW w:type="dxa" w:w="3212"/>
          </w:tcPr>
          <w:p>
            <w:r>
              <w:t xml:space="preserve">Собственная AI-модель генерации диаграмм, интеграции с GitHub/Notion/Confluence/VS Code</w:t>
            </w:r>
          </w:p>
        </w:tc>
        <w:tc>
          <w:tcPr>
            <w:tcW w:type="dxa" w:w="3212"/>
          </w:tcPr>
          <w:p>
            <w:r>
              <w:t xml:space="preserve">средняя</w:t>
            </w:r>
          </w:p>
        </w:tc>
      </w:tr>
      <w:tr>
        <w:tc>
          <w:tcPr>
            <w:tcW w:type="dxa" w:w="3212"/>
          </w:tcPr>
          <w:p>
            <w:r>
              <w:t xml:space="preserve">Отношения с клиентами</w:t>
            </w:r>
          </w:p>
        </w:tc>
        <w:tc>
          <w:tcPr>
            <w:tcW w:type="dxa" w:w="3212"/>
          </w:tcPr>
          <w:p>
            <w:r>
              <w:t xml:space="preserve">SSO и usage reporting на старших тарифах — признак ориентации на enterprise-продажи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Ограничение анализа</w:t>
            </w:r>
          </w:p>
        </w:tc>
        <w:tc>
          <w:tcPr>
            <w:tcW w:type="dxa" w:w="3212"/>
          </w:tcPr>
          <w:p>
            <w:r>
              <w:t xml:space="preserve">Данные о финансировании (раунды, инвесторы) не собирались — нет доступа к Crunchbase в рамках этого исследования</w:t>
            </w:r>
          </w:p>
        </w:tc>
        <w:tc>
          <w:tcPr>
            <w:tcW w:type="dxa" w:w="3212"/>
          </w:tcPr>
          <w:p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Mermaid (open-source) / MermaidChart (коммерческий) — оба Прямые конкуренты, но разные товары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Блок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Содержание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Уверенность</w:t>
            </w:r>
          </w:p>
        </w:tc>
      </w:tr>
      <w:tr>
        <w:tc>
          <w:tcPr>
            <w:tcW w:type="dxa" w:w="3212"/>
          </w:tcPr>
          <w:p>
            <w:r>
              <w:t xml:space="preserve">Ценностное предложение (ядро)</w:t>
            </w:r>
          </w:p>
        </w:tc>
        <w:tc>
          <w:tcPr>
            <w:tcW w:type="dxa" w:w="3212"/>
          </w:tcPr>
          <w:p>
            <w:r>
              <w:t xml:space="preserve">DSL, рендерящийся нативно в Markdown — GitHub/GitLab/Notion уже поддерживают Mermaid без плагинов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Модель доходов (ядро)</w:t>
            </w:r>
          </w:p>
        </w:tc>
        <w:tc>
          <w:tcPr>
            <w:tcW w:type="dxa" w:w="3212"/>
          </w:tcPr>
          <w:p>
            <w:r>
              <w:t xml:space="preserve">GitHub Sponsors — донаты ключевым разработчикам (страница «Meet The Team» с кнопками Sponsor)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MermaidChart — трафик и география</w:t>
            </w:r>
          </w:p>
        </w:tc>
        <w:tc>
          <w:tcPr>
            <w:tcW w:type="dxa" w:w="3212"/>
          </w:tcPr>
          <w:p>
            <w:r>
              <w:t xml:space="preserve">По SimilarWeb (ЛР2-3): &amp;lt;20 тыс. визитов/период, топ-страны — Вьетнам (44,98%), Индонезия (26,27%), США (15,1%) — русскоязычный сегмент почти не представлен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Ограничение анализа</w:t>
            </w:r>
          </w:p>
        </w:tc>
        <w:tc>
          <w:tcPr>
            <w:tcW w:type="dxa" w:w="3212"/>
          </w:tcPr>
          <w:p>
            <w:r>
              <w:t xml:space="preserve">Не удалось определить точные тарифы MermaidChart (сайт не давал полного доступа к прайсингу без регистрации)</w:t>
            </w:r>
          </w:p>
        </w:tc>
        <w:tc>
          <w:tcPr>
            <w:tcW w:type="dxa" w:w="3212"/>
          </w:tcPr>
          <w:p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D2 (d2lang.com) — Близкий конкурент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Блок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Содержание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Уверенность</w:t>
            </w:r>
          </w:p>
        </w:tc>
      </w:tr>
      <w:tr>
        <w:tc>
          <w:tcPr>
            <w:tcW w:type="dxa" w:w="3212"/>
          </w:tcPr>
          <w:p>
            <w:r>
              <w:t xml:space="preserve">Ценностное предложение</w:t>
            </w:r>
          </w:p>
        </w:tc>
        <w:tc>
          <w:tcPr>
            <w:tcW w:type="dxa" w:w="3212"/>
          </w:tcPr>
          <w:p>
            <w:r>
              <w:t xml:space="preserve">«A modern language that turns text to diagrams» — декларативный DSL, позиционируется как самый быстрый способ перенести ментальную модель на экран (дословная цитата с d2lang.com, снято 2026-09-23)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Клиентские сегменты</w:t>
            </w:r>
          </w:p>
        </w:tc>
        <w:tc>
          <w:tcPr>
            <w:tcW w:type="dxa" w:w="3212"/>
          </w:tcPr>
          <w:p>
            <w:r>
              <w:t xml:space="preserve">Разработчики и техписатели — акцент на локальном CLI, VS Code/Vim-интеграции и подходе «модуляризуй диаграммы как код» (imports/variables)</w:t>
            </w:r>
          </w:p>
        </w:tc>
        <w:tc>
          <w:tcPr>
            <w:tcW w:type="dxa" w:w="3212"/>
          </w:tcPr>
          <w:p>
            <w:r>
              <w:t xml:space="preserve">средняя</w:t>
            </w:r>
          </w:p>
        </w:tc>
      </w:tr>
      <w:tr>
        <w:tc>
          <w:tcPr>
            <w:tcW w:type="dxa" w:w="3212"/>
          </w:tcPr>
          <w:p>
            <w:r>
              <w:t xml:space="preserve">Каналы</w:t>
            </w:r>
          </w:p>
        </w:tc>
        <w:tc>
          <w:tcPr>
            <w:tcW w:type="dxa" w:w="3212"/>
          </w:tcPr>
          <w:p>
            <w:r>
              <w:t xml:space="preserve">Open-source дистрибуция через Homebrew/Winget, GitHub, Discord-сообщество, playground для быстрого шаринга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Модель доходов</w:t>
            </w:r>
          </w:p>
        </w:tc>
        <w:tc>
          <w:tcPr>
            <w:tcW w:type="dxa" w:w="3212"/>
          </w:tcPr>
          <w:p>
            <w:r>
              <w:t xml:space="preserve">Отсутствует — независимый open-source проект, «fiscally sponsored by Hack Club» (донаты), не венчурное финансирование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Ключевые ресурсы</w:t>
            </w:r>
          </w:p>
        </w:tc>
        <w:tc>
          <w:tcPr>
            <w:tcW w:type="dxa" w:w="3212"/>
          </w:tcPr>
          <w:p>
            <w:r>
              <w:t xml:space="preserve">Собственный язык D2, 3 движка компоновки диаграмм, встроенная поддержка UML class/sequence diagrams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Партнёрства/экосистема</w:t>
            </w:r>
          </w:p>
        </w:tc>
        <w:tc>
          <w:tcPr>
            <w:tcW w:type="dxa" w:w="3212"/>
          </w:tcPr>
          <w:p>
            <w:r>
              <w:t xml:space="preserve">Официальные плагины VS Code и Vim, экспорт в SVG/PNG/PDF/PPTX/GIF/ASCII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Ограничение анализа</w:t>
            </w:r>
          </w:p>
        </w:tc>
        <w:tc>
          <w:tcPr>
            <w:tcW w:type="dxa" w:w="3212"/>
          </w:tcPr>
          <w:p>
            <w:r>
              <w:t xml:space="preserve">Сайт не публикует число пользователей/загрузок — оценить масштаб аудитории по открытым данным нельзя</w:t>
            </w:r>
          </w:p>
        </w:tc>
        <w:tc>
          <w:tcPr>
            <w:tcW w:type="dxa" w:w="3212"/>
          </w:tcPr>
          <w:p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draw.io / diagrams.net (app.diagrams.net) — Близкий конкурент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Блок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Содержание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Уверенность</w:t>
            </w:r>
          </w:p>
        </w:tc>
      </w:tr>
      <w:tr>
        <w:tc>
          <w:tcPr>
            <w:tcW w:type="dxa" w:w="3212"/>
          </w:tcPr>
          <w:p>
            <w:r>
              <w:t xml:space="preserve">Ценностное предложение</w:t>
            </w:r>
          </w:p>
        </w:tc>
        <w:tc>
          <w:tcPr>
            <w:tcW w:type="dxa" w:w="3212"/>
          </w:tcPr>
          <w:p>
            <w:r>
              <w:t xml:space="preserve">«Professional diagramming without the enterprise price tag or privacy compromises» + «No account required. No credit card» (дословные цитаты с drawio.com, снято 2026-09-23)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Клиентские сегменты</w:t>
            </w:r>
          </w:p>
        </w:tc>
        <w:tc>
          <w:tcPr>
            <w:tcW w:type="dxa" w:w="3212"/>
          </w:tcPr>
          <w:p>
            <w:r>
              <w:t xml:space="preserve">Широкий: от индивидуальных пользователей без регистрации до команд, работающих через нативные интеграции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Каналы</w:t>
            </w:r>
          </w:p>
        </w:tc>
        <w:tc>
          <w:tcPr>
            <w:tcW w:type="dxa" w:w="3212"/>
          </w:tcPr>
          <w:p>
            <w:r>
              <w:t xml:space="preserve">Прямой веб-доступ (app.diagrams.net), интеграции как канал дистрибуции: Google Drive/Docs/Slides, Microsoft SharePoint/OneDrive/Teams, Atlassian Confluence/Jira, GitHub, VS Code, Notion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Модель доходов</w:t>
            </w:r>
          </w:p>
        </w:tc>
        <w:tc>
          <w:tcPr>
            <w:tcW w:type="dxa" w:w="3212"/>
          </w:tcPr>
          <w:p>
            <w:r>
              <w:t xml:space="preserve">«No artificial scarcity, no Enterprise tier for SSO» — полностью open source (Apache 2.0), без выделенного платного тарифа самого редактора; компания описывает себя как «Not VC-funded»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Ключевые ресурсы</w:t>
            </w:r>
          </w:p>
        </w:tc>
        <w:tc>
          <w:tcPr>
            <w:tcW w:type="dxa" w:w="3212"/>
          </w:tcPr>
          <w:p>
            <w:r>
              <w:t xml:space="preserve">20-летняя история (с 2005), полная обратная совместимость файлов, официально заявлено «100M+ users worldwide»</w:t>
            </w:r>
          </w:p>
        </w:tc>
        <w:tc>
          <w:tcPr>
            <w:tcW w:type="dxa" w:w="3212"/>
          </w:tcPr>
          <w:p>
            <w:r>
              <w:t xml:space="preserve">средняя (цифра пользователей — заявление самой компании, независимо не проверялась)</w:t>
            </w:r>
          </w:p>
        </w:tc>
      </w:tr>
      <w:tr>
        <w:tc>
          <w:tcPr>
            <w:tcW w:type="dxa" w:w="3212"/>
          </w:tcPr>
          <w:p>
            <w:r>
              <w:t xml:space="preserve">Партнёрства/экосистема</w:t>
            </w:r>
          </w:p>
        </w:tc>
        <w:tc>
          <w:tcPr>
            <w:tcW w:type="dxa" w:w="3212"/>
          </w:tcPr>
          <w:p>
            <w:r>
              <w:t xml:space="preserve">Официальные плагины для Atlassian Marketplace (Confluence/Jira), встраивание диаграмм через </w:t>
            </w:r>
            <w:r>
              <w:rPr>
                <w:rFonts w:ascii="Consolas" w:cs="Consolas" w:eastAsia="Consolas" w:hAnsi="Consolas"/>
              </w:rPr>
              <w:t xml:space="preserve">&lt;iframe&gt;</w:t>
            </w:r>
            <w:r>
              <w:t xml:space="preserve"> для разработчиков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Ограничение анализа</w:t>
            </w:r>
          </w:p>
        </w:tc>
        <w:tc>
          <w:tcPr>
            <w:tcW w:type="dxa" w:w="3212"/>
          </w:tcPr>
          <w:p>
            <w:r>
              <w:t xml:space="preserve">Нет доступа к методологии подсчёта «100M+ users» — цифра приводится как маркетинговое заявление, не как проверяемая метрика</w:t>
            </w:r>
          </w:p>
        </w:tc>
        <w:tc>
          <w:tcPr>
            <w:tcW w:type="dxa" w:w="3212"/>
          </w:tcPr>
          <w:p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3. Модель Левитта (5 уровней товара) — обязательный элемент методики, ранее не применялся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Уровень</w:t>
            </w:r>
          </w:p>
        </w:tc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PlantUML</w:t>
            </w:r>
          </w:p>
        </w:tc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Eraser.io</w:t>
            </w:r>
          </w:p>
        </w:tc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DiagramCode (наш продукт)</w:t>
            </w:r>
          </w:p>
        </w:tc>
      </w:tr>
      <w:tr>
        <w:tc>
          <w:tcPr>
            <w:tcW w:type="dxa" w:w="2409"/>
          </w:tcPr>
          <w:p>
            <w:r>
              <w:t xml:space="preserve">Базовая выгода</w:t>
            </w:r>
          </w:p>
        </w:tc>
        <w:tc>
          <w:tcPr>
            <w:tcW w:type="dxa" w:w="2409"/>
          </w:tcPr>
          <w:p>
            <w:r>
              <w:t xml:space="preserve">Получить диаграмму из текста</w:t>
            </w:r>
          </w:p>
        </w:tc>
        <w:tc>
          <w:tcPr>
            <w:tcW w:type="dxa" w:w="2409"/>
          </w:tcPr>
          <w:p>
            <w:r>
              <w:t xml:space="preserve">Получить диаграмму по описанию (AI)</w:t>
            </w:r>
          </w:p>
        </w:tc>
        <w:tc>
          <w:tcPr>
            <w:tcW w:type="dxa" w:w="2409"/>
          </w:tcPr>
          <w:p>
            <w:r>
              <w:t xml:space="preserve">Получить и </w:t>
            </w:r>
            <w:r>
              <w:rPr>
                <w:b/>
                <w:bCs/>
              </w:rPr>
              <w:t xml:space="preserve">версионировать</w:t>
            </w:r>
            <w:r>
              <w:t xml:space="preserve"> инженерную диаграмму без потери истории</w:t>
            </w:r>
          </w:p>
        </w:tc>
      </w:tr>
      <w:tr>
        <w:tc>
          <w:tcPr>
            <w:tcW w:type="dxa" w:w="2409"/>
          </w:tcPr>
          <w:p>
            <w:r>
              <w:t xml:space="preserve">Родовой товар</w:t>
            </w:r>
          </w:p>
        </w:tc>
        <w:tc>
          <w:tcPr>
            <w:tcW w:type="dxa" w:w="2409"/>
          </w:tcPr>
          <w:p>
            <w:r>
              <w:t xml:space="preserve">DSL-рендерер (текст → SVG/PNG)</w:t>
            </w:r>
          </w:p>
        </w:tc>
        <w:tc>
          <w:tcPr>
            <w:tcW w:type="dxa" w:w="2409"/>
          </w:tcPr>
          <w:p>
            <w:r>
              <w:t xml:space="preserve">DSL + AI-генератор с канвасом</w:t>
            </w:r>
          </w:p>
        </w:tc>
        <w:tc>
          <w:tcPr>
            <w:tcW w:type="dxa" w:w="2409"/>
          </w:tcPr>
          <w:p>
            <w:r>
              <w:t xml:space="preserve">DSL + рендер + git-подобное версионирование</w:t>
            </w:r>
          </w:p>
        </w:tc>
      </w:tr>
      <w:tr>
        <w:tc>
          <w:tcPr>
            <w:tcW w:type="dxa" w:w="2409"/>
          </w:tcPr>
          <w:p>
            <w:r>
              <w:t xml:space="preserve">Ожидаемый товар</w:t>
            </w:r>
          </w:p>
        </w:tc>
        <w:tc>
          <w:tcPr>
            <w:tcW w:type="dxa" w:w="2409"/>
          </w:tcPr>
          <w:p>
            <w:r>
              <w:t xml:space="preserve">Работает в браузере и локально, встроен в IDE, бесплатно</w:t>
            </w:r>
          </w:p>
        </w:tc>
        <w:tc>
          <w:tcPr>
            <w:tcW w:type="dxa" w:w="2409"/>
          </w:tcPr>
          <w:p>
            <w:r>
              <w:t xml:space="preserve">Интеграции (GitHub/Notion/Confluence/VS Code), история версий (90 дней → безлимит)</w:t>
            </w:r>
          </w:p>
        </w:tc>
        <w:tc>
          <w:tcPr>
            <w:tcW w:type="dxa" w:w="2409"/>
          </w:tcPr>
          <w:p>
            <w:r>
              <w:t xml:space="preserve">AI-генерация, IDE-оболочка, аутентификация</w:t>
            </w:r>
          </w:p>
        </w:tc>
      </w:tr>
      <w:tr>
        <w:tc>
          <w:tcPr>
            <w:tcW w:type="dxa" w:w="2409"/>
          </w:tcPr>
          <w:p>
            <w:r>
              <w:t xml:space="preserve">Расширенный товар</w:t>
            </w:r>
          </w:p>
        </w:tc>
        <w:tc>
          <w:tcPr>
            <w:tcW w:type="dxa" w:w="2409"/>
          </w:tcPr>
          <w:p>
            <w:r>
              <w:t xml:space="preserve">Browser extension для GitHub, огромная база примеров, community support</w:t>
            </w:r>
          </w:p>
        </w:tc>
        <w:tc>
          <w:tcPr>
            <w:tcW w:type="dxa" w:w="2409"/>
          </w:tcPr>
          <w:p>
            <w:r>
              <w:t xml:space="preserve">SSO, кастомные иконки, API, командные тарифы</w:t>
            </w:r>
          </w:p>
        </w:tc>
        <w:tc>
          <w:tcPr>
            <w:tcW w:type="dxa" w:w="2409"/>
          </w:tcPr>
          <w:p>
            <w:r>
              <w:t xml:space="preserve">Полный охват нотаций (UML+ERD+IDEF+BPMN+Petri) — </w:t>
            </w:r>
            <w:r>
              <w:rPr>
                <w:b/>
                <w:bCs/>
              </w:rPr>
              <w:t xml:space="preserve">ни у одного конкурента нет полностью</w:t>
            </w:r>
          </w:p>
        </w:tc>
      </w:tr>
      <w:tr>
        <w:tc>
          <w:tcPr>
            <w:tcW w:type="dxa" w:w="2409"/>
          </w:tcPr>
          <w:p>
            <w:r>
              <w:t xml:space="preserve">Потенциальный товар</w:t>
            </w:r>
          </w:p>
        </w:tc>
        <w:tc>
          <w:tcPr>
            <w:tcW w:type="dxa" w:w="2409"/>
          </w:tcPr>
          <w:p>
            <w:r>
              <w:t xml:space="preserve">Не заявлен — open-source roadmap community-driven</w:t>
            </w:r>
          </w:p>
        </w:tc>
        <w:tc>
          <w:tcPr>
            <w:tcW w:type="dxa" w:w="2409"/>
          </w:tcPr>
          <w:p>
            <w:r>
              <w:t xml:space="preserve">Enterprise deployment flexibility, usage reporting</w:t>
            </w:r>
          </w:p>
        </w:tc>
        <w:tc>
          <w:tcPr>
            <w:tcW w:type="dxa" w:w="2409"/>
          </w:tcPr>
          <w:p>
            <w:r>
              <w:t xml:space="preserve">Маркетплейс шаблонов, экспорт в нативные форматы конкурентов, обучение AI на истории пользователя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Вывод по Левитту</w:t>
      </w:r>
      <w:r>
        <w:t xml:space="preserve">: у PlantUML и Eraser.io «расширенный товар» — это глубина экосистемы (плагины/интеграции), а не охват нотаций. DiagramCode может занять «расширенный товар» именно через охват нотаций — единственное измерение, где сегодня нет лидера.</w:t>
      </w:r>
    </w:p>
    <w:p>
      <w:pPr>
        <w:pStyle w:val="Heading1"/>
        <w:spacing w:after="120" w:before="240"/>
      </w:pPr>
      <w:r>
        <w:t xml:space="preserve">4. Модель Кано — классификация ключевых функций (обязательный элемент методики, ранее не применялся)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Функция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Категория Кано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Обоснование</w:t>
            </w:r>
          </w:p>
        </w:tc>
      </w:tr>
      <w:tr>
        <w:tc>
          <w:tcPr>
            <w:tcW w:type="dxa" w:w="3212"/>
          </w:tcPr>
          <w:p>
            <w:r>
              <w:t xml:space="preserve">Текстовый DSL-редактор с подсветкой синтаксиса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Обязательная (must-be)</w:t>
            </w:r>
          </w:p>
        </w:tc>
        <w:tc>
          <w:tcPr>
            <w:tcW w:type="dxa" w:w="3212"/>
          </w:tcPr>
          <w:p>
            <w:r>
              <w:t xml:space="preserve">Отсутствие — блокер для dev-инструмента; наличие не радует, воспринимается как данность</w:t>
            </w:r>
          </w:p>
        </w:tc>
      </w:tr>
      <w:tr>
        <w:tc>
          <w:tcPr>
            <w:tcW w:type="dxa" w:w="3212"/>
          </w:tcPr>
          <w:p>
            <w:r>
              <w:t xml:space="preserve">Рендер без установки в браузере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Обязательная (must-be)</w:t>
            </w:r>
          </w:p>
        </w:tc>
        <w:tc>
          <w:tcPr>
            <w:tcW w:type="dxa" w:w="3212"/>
          </w:tcPr>
          <w:p>
            <w:r>
              <w:t xml:space="preserve">Рыночный стандарт с PlantUML/Mermaid — уже ожидается по умолчанию</w:t>
            </w:r>
          </w:p>
        </w:tc>
      </w:tr>
      <w:tr>
        <w:tc>
          <w:tcPr>
            <w:tcW w:type="dxa" w:w="3212"/>
          </w:tcPr>
          <w:p>
            <w:r>
              <w:t xml:space="preserve">Интеграция с GitHub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Обязательная (must-be)</w:t>
            </w:r>
          </w:p>
        </w:tc>
        <w:tc>
          <w:tcPr>
            <w:tcW w:type="dxa" w:w="3212"/>
          </w:tcPr>
          <w:p>
            <w:r>
              <w:t xml:space="preserve">Подтверждено в ЛР5 как рыночный стандарт (и у PlantUML, и у Mermaid, и у Eraser.io)</w:t>
            </w:r>
          </w:p>
        </w:tc>
      </w:tr>
      <w:tr>
        <w:tc>
          <w:tcPr>
            <w:tcW w:type="dxa" w:w="3212"/>
          </w:tcPr>
          <w:p>
            <w:r>
              <w:t xml:space="preserve">История версий / откат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Линейная (performance)</w:t>
            </w:r>
          </w:p>
        </w:tc>
        <w:tc>
          <w:tcPr>
            <w:tcW w:type="dxa" w:w="3212"/>
          </w:tcPr>
          <w:p>
            <w:r>
              <w:t xml:space="preserve">Чем глубже история — тем выше воспринимаемая ценность (у Eraser.io явно градуирована по тарифам: 90 дней → безлимит)</w:t>
            </w:r>
          </w:p>
        </w:tc>
      </w:tr>
      <w:tr>
        <w:tc>
          <w:tcPr>
            <w:tcW w:type="dxa" w:w="3212"/>
          </w:tcPr>
          <w:p>
            <w:r>
              <w:t xml:space="preserve">Совместное редактирование в реальном времени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Линейная (performance)</w:t>
            </w:r>
          </w:p>
        </w:tc>
        <w:tc>
          <w:tcPr>
            <w:tcW w:type="dxa" w:w="3212"/>
          </w:tcPr>
          <w:p>
            <w:r>
              <w:t xml:space="preserve">Ожидается в современных SaaS-инструментах, качество реализации напрямую влияет на удовлетворённость</w:t>
            </w:r>
          </w:p>
        </w:tc>
      </w:tr>
      <w:tr>
        <w:tc>
          <w:tcPr>
            <w:tcW w:type="dxa" w:w="3212"/>
          </w:tcPr>
          <w:p>
            <w:r>
              <w:t xml:space="preserve">AI-генерация диаграммы по тексту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Привлекательная (excitement)</w:t>
            </w:r>
            <w:r>
              <w:t xml:space="preserve">, смещается к линейной</w:t>
            </w:r>
          </w:p>
        </w:tc>
        <w:tc>
          <w:tcPr>
            <w:tcW w:type="dxa" w:w="3212"/>
          </w:tcPr>
          <w:p>
            <w:r>
              <w:t xml:space="preserve">По ЛР1 спрос на эту функцию структурно растёт с середины 2025 — то, что вчера восхищало, послезавтра станет ожидаемым (классический жизненный цикл категории по модели Кано)</w:t>
            </w:r>
          </w:p>
        </w:tc>
      </w:tr>
      <w:tr>
        <w:tc>
          <w:tcPr>
            <w:tcW w:type="dxa" w:w="3212"/>
          </w:tcPr>
          <w:p>
            <w:r>
              <w:t xml:space="preserve">Полный охват инженерных нотаций (UML+ERD+IDEF+BPMN+Petri) в одном инструменте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Привлекательная (excitement)</w:t>
            </w:r>
          </w:p>
        </w:tc>
        <w:tc>
          <w:tcPr>
            <w:tcW w:type="dxa" w:w="3212"/>
          </w:tcPr>
          <w:p>
            <w:r>
              <w:t xml:space="preserve">Ни у одного конкурента нет — источник дифференциации DiagramCode, не воспринимается как данность</w:t>
            </w:r>
          </w:p>
        </w:tc>
      </w:tr>
      <w:tr>
        <w:tc>
          <w:tcPr>
            <w:tcW w:type="dxa" w:w="3212"/>
          </w:tcPr>
          <w:p>
            <w:r>
              <w:t xml:space="preserve">Экспорт в нативные форматы конкурентов (PlantUML/Mermaid-текст, BPMN XML)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Привлекательная для мигрирующих / безразличная для новых</w:t>
            </w:r>
          </w:p>
        </w:tc>
        <w:tc>
          <w:tcPr>
            <w:tcW w:type="dxa" w:w="3212"/>
          </w:tcPr>
          <w:p>
            <w:r>
              <w:t xml:space="preserve">Ценна только для команд, переходящих с других инструментов — сегмент-зависимая категория</w:t>
            </w:r>
          </w:p>
        </w:tc>
      </w:tr>
      <w:tr>
        <w:tc>
          <w:tcPr>
            <w:tcW w:type="dxa" w:w="3212"/>
          </w:tcPr>
          <w:p>
            <w:r>
              <w:t xml:space="preserve">Кастомные иконки/темы оформления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Безразличная</w:t>
            </w:r>
          </w:p>
        </w:tc>
        <w:tc>
          <w:tcPr>
            <w:tcW w:type="dxa" w:w="3212"/>
          </w:tcPr>
          <w:p>
            <w:r>
              <w:t xml:space="preserve">Косметика, низкая дифференцирующая ценность (это же видно по Eraser.io — вынесено только в старшие тарифы, не в ядро продукта)</w:t>
            </w:r>
          </w:p>
        </w:tc>
      </w:tr>
      <w:tr>
        <w:tc>
          <w:tcPr>
            <w:tcW w:type="dxa" w:w="3212"/>
          </w:tcPr>
          <w:p>
            <w:r>
              <w:t xml:space="preserve">SSO / enterprise-функции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Безразличная для малых команд, обязательная для enterprise</w:t>
            </w:r>
          </w:p>
        </w:tc>
        <w:tc>
          <w:tcPr>
            <w:tcW w:type="dxa" w:w="3212"/>
          </w:tcPr>
          <w:p>
            <w:r>
              <w:t xml:space="preserve">Сегмент-зависимая категория — подтверждает решение не включать это в первый релиз (ЛР6)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5. Рыночный стандарт цифрового товара — 6-классовая типология (методика §8.1, ранее использовалась урезанная 3-значная шкала)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Признак</w:t>
            </w:r>
          </w:p>
        </w:tc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Класс</w:t>
            </w:r>
          </w:p>
        </w:tc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Доля прямых конкурентов с признаком</w:t>
            </w:r>
          </w:p>
        </w:tc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Обоснование класса</w:t>
            </w:r>
          </w:p>
        </w:tc>
      </w:tr>
      <w:tr>
        <w:tc>
          <w:tcPr>
            <w:tcW w:type="dxa" w:w="2409"/>
          </w:tcPr>
          <w:p>
            <w:r>
              <w:t xml:space="preserve">Текстовый DSL</w:t>
            </w:r>
          </w:p>
        </w:tc>
        <w:tc>
          <w:tcPr>
            <w:tcW w:type="dxa" w:w="2409"/>
          </w:tcPr>
          <w:p>
            <w:r>
              <w:t xml:space="preserve">Обязательная практика</w:t>
            </w:r>
          </w:p>
        </w:tc>
        <w:tc>
          <w:tcPr>
            <w:tcW w:type="dxa" w:w="2409"/>
          </w:tcPr>
          <w:p>
            <w:r>
              <w:t xml:space="preserve">4 из 4 прямых (PlantUML, Mermaid, MermaidChart, Eraser.io)</w:t>
            </w:r>
          </w:p>
        </w:tc>
        <w:tc>
          <w:tcPr>
            <w:tcW w:type="dxa" w:w="2409"/>
          </w:tcPr>
          <w:p>
            <w:r>
              <w:t xml:space="preserve">100% — безусловный стандарт</w:t>
            </w:r>
          </w:p>
        </w:tc>
      </w:tr>
      <w:tr>
        <w:tc>
          <w:tcPr>
            <w:tcW w:type="dxa" w:w="2409"/>
          </w:tcPr>
          <w:p>
            <w:r>
              <w:t xml:space="preserve">Браузерный рендер без установки</w:t>
            </w:r>
          </w:p>
        </w:tc>
        <w:tc>
          <w:tcPr>
            <w:tcW w:type="dxa" w:w="2409"/>
          </w:tcPr>
          <w:p>
            <w:r>
              <w:t xml:space="preserve">Обязательная практика</w:t>
            </w:r>
          </w:p>
        </w:tc>
        <w:tc>
          <w:tcPr>
            <w:tcW w:type="dxa" w:w="2409"/>
          </w:tcPr>
          <w:p>
            <w:r>
              <w:t xml:space="preserve">4 из 4</w:t>
            </w:r>
          </w:p>
        </w:tc>
        <w:tc>
          <w:tcPr>
            <w:tcW w:type="dxa" w:w="2409"/>
          </w:tcPr>
          <w:p>
            <w:r>
              <w:t xml:space="preserve">100% — безусловный стандарт</w:t>
            </w:r>
          </w:p>
        </w:tc>
      </w:tr>
      <w:tr>
        <w:tc>
          <w:tcPr>
            <w:tcW w:type="dxa" w:w="2409"/>
          </w:tcPr>
          <w:p>
            <w:r>
              <w:t xml:space="preserve">Интеграция с GitHub/GitLab</w:t>
            </w:r>
          </w:p>
        </w:tc>
        <w:tc>
          <w:tcPr>
            <w:tcW w:type="dxa" w:w="2409"/>
          </w:tcPr>
          <w:p>
            <w:r>
              <w:t xml:space="preserve">Распространённая практика</w:t>
            </w:r>
          </w:p>
        </w:tc>
        <w:tc>
          <w:tcPr>
            <w:tcW w:type="dxa" w:w="2409"/>
          </w:tcPr>
          <w:p>
            <w:r>
              <w:t xml:space="preserve">3 из 4 (нет прямого подтверждения для MermaidChart)</w:t>
            </w:r>
          </w:p>
        </w:tc>
        <w:tc>
          <w:tcPr>
            <w:tcW w:type="dxa" w:w="2409"/>
          </w:tcPr>
          <w:p>
            <w:r>
              <w:t xml:space="preserve">≥70%, но не 100%</w:t>
            </w:r>
          </w:p>
        </w:tc>
      </w:tr>
      <w:tr>
        <w:tc>
          <w:tcPr>
            <w:tcW w:type="dxa" w:w="2409"/>
          </w:tcPr>
          <w:p>
            <w:r>
              <w:t xml:space="preserve">AI-генерация по тексту</w:t>
            </w:r>
          </w:p>
        </w:tc>
        <w:tc>
          <w:tcPr>
            <w:tcW w:type="dxa" w:w="2409"/>
          </w:tcPr>
          <w:p>
            <w:r>
              <w:t xml:space="preserve">Усиливающая практика</w:t>
            </w:r>
          </w:p>
        </w:tc>
        <w:tc>
          <w:tcPr>
            <w:tcW w:type="dxa" w:w="2409"/>
          </w:tcPr>
          <w:p>
            <w:r>
              <w:t xml:space="preserve">2 из 4 (Eraser.io явно, MermaidChart предположительно)</w:t>
            </w:r>
          </w:p>
        </w:tc>
        <w:tc>
          <w:tcPr>
            <w:tcW w:type="dxa" w:w="2409"/>
          </w:tcPr>
          <w:p>
            <w:r>
              <w:t xml:space="preserve">Растёт быстро (ЛР1), но пока не у большинства</w:t>
            </w:r>
          </w:p>
        </w:tc>
      </w:tr>
      <w:tr>
        <w:tc>
          <w:tcPr>
            <w:tcW w:type="dxa" w:w="2409"/>
          </w:tcPr>
          <w:p>
            <w:r>
              <w:t xml:space="preserve">«Полный охват инженерных нотаций в одном продукте»</w:t>
            </w:r>
          </w:p>
        </w:tc>
        <w:tc>
          <w:tcPr>
            <w:tcW w:type="dxa" w:w="2409"/>
          </w:tcPr>
          <w:p>
            <w:r>
              <w:rPr>
                <w:b/>
                <w:bCs/>
              </w:rPr>
              <w:t xml:space="preserve">Редкая практика</w:t>
            </w:r>
          </w:p>
        </w:tc>
        <w:tc>
          <w:tcPr>
            <w:tcW w:type="dxa" w:w="2409"/>
          </w:tcPr>
          <w:p>
            <w:r>
              <w:t xml:space="preserve">0 из 4</w:t>
            </w:r>
          </w:p>
        </w:tc>
        <w:tc>
          <w:tcPr>
            <w:tcW w:type="dxa" w:w="2409"/>
          </w:tcPr>
          <w:p>
            <w:r>
              <w:t xml:space="preserve">Ни у одного — прямая зона дифференциации</w:t>
            </w:r>
          </w:p>
        </w:tc>
      </w:tr>
      <w:tr>
        <w:tc>
          <w:tcPr>
            <w:tcW w:type="dxa" w:w="2409"/>
          </w:tcPr>
          <w:p>
            <w:r>
              <w:t xml:space="preserve">Заявления вида «AI понимает вашу архитектуру» (общие маркетинговые формулировки без конкретики)</w:t>
            </w:r>
          </w:p>
        </w:tc>
        <w:tc>
          <w:tcPr>
            <w:tcW w:type="dxa" w:w="2409"/>
          </w:tcPr>
          <w:p>
            <w:r>
              <w:rPr>
                <w:b/>
                <w:bCs/>
              </w:rPr>
              <w:t xml:space="preserve">Декларативная практика</w:t>
            </w:r>
          </w:p>
        </w:tc>
        <w:tc>
          <w:tcPr>
            <w:tcW w:type="dxa" w:w="2409"/>
          </w:tcPr>
          <w:p>
            <w:r>
              <w:t xml:space="preserve">Наблюдается в маркетинговых текстах Eraser.io</w:t>
            </w:r>
          </w:p>
        </w:tc>
        <w:tc>
          <w:tcPr>
            <w:tcW w:type="dxa" w:w="2409"/>
          </w:tcPr>
          <w:p>
            <w:r>
              <w:t xml:space="preserve">Не подтверждена конкретными данными на сайте — маркетинговая формулировка, не факт</w:t>
            </w:r>
          </w:p>
        </w:tc>
      </w:tr>
      <w:tr>
        <w:tc>
          <w:tcPr>
            <w:tcW w:type="dxa" w:w="2409"/>
          </w:tcPr>
          <w:p>
            <w:r>
              <w:t xml:space="preserve">«Без сервера, без слежки» (PlantUML) при одновременной работе через сторонние облачные рендер-сервисы у части инструментов экосистемы</w:t>
            </w:r>
          </w:p>
        </w:tc>
        <w:tc>
          <w:tcPr>
            <w:tcW w:type="dxa" w:w="2409"/>
          </w:tcPr>
          <w:p>
            <w:r>
              <w:t xml:space="preserve">Не относится к негативной практике для рассмотренных конкурентов</w:t>
            </w:r>
          </w:p>
        </w:tc>
        <w:tc>
          <w:tcPr>
            <w:tcW w:type="dxa" w:w="2409"/>
          </w:tcPr>
          <w:p>
            <w:r>
              <w:t xml:space="preserve">—</w:t>
            </w:r>
          </w:p>
        </w:tc>
        <w:tc>
          <w:tcPr>
            <w:tcW w:type="dxa" w:w="2409"/>
          </w:tcPr>
          <w:p>
            <w:r>
              <w:t xml:space="preserve">Негативных практик (обманывающих ожидания клиента) в выборке не обнаружено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6. Сравнительная матрица конкурентов (сокращённый набор колонок, прямые конкуренты)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927"/>
            <w:shd w:fill="D9D9D9" w:val="clear"/>
          </w:tcPr>
          <w:p>
            <w:r>
              <w:rPr>
                <w:b/>
                <w:bCs/>
              </w:rPr>
              <w:t xml:space="preserve">PlantUML</w:t>
            </w:r>
          </w:p>
        </w:tc>
        <w:tc>
          <w:tcPr>
            <w:tcW w:type="dxa" w:w="1927"/>
            <w:shd w:fill="D9D9D9" w:val="clear"/>
          </w:tcPr>
          <w:p>
            <w:r>
              <w:rPr>
                <w:b/>
                <w:bCs/>
              </w:rPr>
              <w:t xml:space="preserve">Mermaid (OSS)</w:t>
            </w:r>
          </w:p>
        </w:tc>
        <w:tc>
          <w:tcPr>
            <w:tcW w:type="dxa" w:w="1927"/>
            <w:shd w:fill="D9D9D9" w:val="clear"/>
          </w:tcPr>
          <w:p>
            <w:r>
              <w:rPr>
                <w:b/>
                <w:bCs/>
              </w:rPr>
              <w:t xml:space="preserve">MermaidChart</w:t>
            </w:r>
          </w:p>
        </w:tc>
        <w:tc>
          <w:tcPr>
            <w:tcW w:type="dxa" w:w="1927"/>
            <w:shd w:fill="D9D9D9" w:val="clear"/>
          </w:tcPr>
          <w:p>
            <w:r>
              <w:rPr>
                <w:b/>
                <w:bCs/>
              </w:rPr>
              <w:t xml:space="preserve">Eraser.io</w:t>
            </w:r>
          </w:p>
        </w:tc>
      </w:tr>
      <w:tr>
        <w:tc>
          <w:tcPr>
            <w:tcW w:type="dxa" w:w="1927"/>
          </w:tcPr>
          <w:p>
            <w:r>
              <w:t xml:space="preserve">Открытые тарифы на сайте</w:t>
            </w:r>
          </w:p>
        </w:tc>
        <w:tc>
          <w:tcPr>
            <w:tcW w:type="dxa" w:w="1927"/>
          </w:tcPr>
          <w:p>
            <w:r>
              <w:t xml:space="preserve">Да (бесплатно)</w:t>
            </w:r>
          </w:p>
        </w:tc>
        <w:tc>
          <w:tcPr>
            <w:tcW w:type="dxa" w:w="1927"/>
          </w:tcPr>
          <w:p>
            <w:r>
              <w:t xml:space="preserve">Да (бесплатно)</w:t>
            </w:r>
          </w:p>
        </w:tc>
        <w:tc>
          <w:tcPr>
            <w:tcW w:type="dxa" w:w="1927"/>
          </w:tcPr>
          <w:p>
            <w:r>
              <w:t xml:space="preserve">Не полностью (закрыты за регистрацией)</w:t>
            </w:r>
          </w:p>
        </w:tc>
        <w:tc>
          <w:tcPr>
            <w:tcW w:type="dxa" w:w="1927"/>
          </w:tcPr>
          <w:p>
            <w:r>
              <w:t xml:space="preserve">Да</w:t>
            </w:r>
          </w:p>
        </w:tc>
      </w:tr>
      <w:tr>
        <w:tc>
          <w:tcPr>
            <w:tcW w:type="dxa" w:w="1927"/>
          </w:tcPr>
          <w:p>
            <w:r>
              <w:t xml:space="preserve">Пробный доступ без оплаты</w:t>
            </w:r>
          </w:p>
        </w:tc>
        <w:tc>
          <w:tcPr>
            <w:tcW w:type="dxa" w:w="1927"/>
          </w:tcPr>
          <w:p>
            <w:r>
              <w:t xml:space="preserve">Не требуется (всё бесплатно)</w:t>
            </w:r>
          </w:p>
        </w:tc>
        <w:tc>
          <w:tcPr>
            <w:tcW w:type="dxa" w:w="1927"/>
          </w:tcPr>
          <w:p>
            <w:r>
              <w:t xml:space="preserve">Не требуется</w:t>
            </w:r>
          </w:p>
        </w:tc>
        <w:tc>
          <w:tcPr>
            <w:tcW w:type="dxa" w:w="1927"/>
          </w:tcPr>
          <w:p>
            <w:r>
              <w:t xml:space="preserve">Не выяснено</w:t>
            </w:r>
          </w:p>
        </w:tc>
        <w:tc>
          <w:tcPr>
            <w:tcW w:type="dxa" w:w="1927"/>
          </w:tcPr>
          <w:p>
            <w:r>
              <w:t xml:space="preserve">Да, тариф Free</w:t>
            </w:r>
          </w:p>
        </w:tc>
      </w:tr>
      <w:tr>
        <w:tc>
          <w:tcPr>
            <w:tcW w:type="dxa" w:w="1927"/>
          </w:tcPr>
          <w:p>
            <w:r>
              <w:t xml:space="preserve">Самостоятельная регистрация</w:t>
            </w:r>
          </w:p>
        </w:tc>
        <w:tc>
          <w:tcPr>
            <w:tcW w:type="dxa" w:w="1927"/>
          </w:tcPr>
          <w:p>
            <w:r>
              <w:t xml:space="preserve">Не требуется</w:t>
            </w:r>
          </w:p>
        </w:tc>
        <w:tc>
          <w:tcPr>
            <w:tcW w:type="dxa" w:w="1927"/>
          </w:tcPr>
          <w:p>
            <w:r>
              <w:t xml:space="preserve">Не требуется</w:t>
            </w:r>
          </w:p>
        </w:tc>
        <w:tc>
          <w:tcPr>
            <w:tcW w:type="dxa" w:w="1927"/>
          </w:tcPr>
          <w:p>
            <w:r>
              <w:t xml:space="preserve">Да</w:t>
            </w:r>
          </w:p>
        </w:tc>
        <w:tc>
          <w:tcPr>
            <w:tcW w:type="dxa" w:w="1927"/>
          </w:tcPr>
          <w:p>
            <w:r>
              <w:t xml:space="preserve">Да</w:t>
            </w:r>
          </w:p>
        </w:tc>
      </w:tr>
      <w:tr>
        <w:tc>
          <w:tcPr>
            <w:tcW w:type="dxa" w:w="1927"/>
          </w:tcPr>
          <w:p>
            <w:r>
              <w:t xml:space="preserve">Интеграции</w:t>
            </w:r>
          </w:p>
        </w:tc>
        <w:tc>
          <w:tcPr>
            <w:tcW w:type="dxa" w:w="1927"/>
          </w:tcPr>
          <w:p>
            <w:r>
              <w:t xml:space="preserve">IDE, CI, GitHub-расширение</w:t>
            </w:r>
          </w:p>
        </w:tc>
        <w:tc>
          <w:tcPr>
            <w:tcW w:type="dxa" w:w="1927"/>
          </w:tcPr>
          <w:p>
            <w:r>
              <w:t xml:space="preserve">GitHub/GitLab/Notion нативно</w:t>
            </w:r>
          </w:p>
        </w:tc>
        <w:tc>
          <w:tcPr>
            <w:tcW w:type="dxa" w:w="1927"/>
          </w:tcPr>
          <w:p>
            <w:r>
              <w:t xml:space="preserve">Не выяснено</w:t>
            </w:r>
          </w:p>
        </w:tc>
        <w:tc>
          <w:tcPr>
            <w:tcW w:type="dxa" w:w="1927"/>
          </w:tcPr>
          <w:p>
            <w:r>
              <w:t xml:space="preserve">GitHub/Notion/Confluence/VS Code</w:t>
            </w:r>
          </w:p>
        </w:tc>
      </w:tr>
      <w:tr>
        <w:tc>
          <w:tcPr>
            <w:tcW w:type="dxa" w:w="1927"/>
          </w:tcPr>
          <w:p>
            <w:r>
              <w:t xml:space="preserve">Доказательства доверия на сайте</w:t>
            </w:r>
          </w:p>
        </w:tc>
        <w:tc>
          <w:tcPr>
            <w:tcW w:type="dxa" w:w="1927"/>
          </w:tcPr>
          <w:p>
            <w:r>
              <w:t xml:space="preserve">Многолетняя история, широкое community</w:t>
            </w:r>
          </w:p>
        </w:tc>
        <w:tc>
          <w:tcPr>
            <w:tcW w:type="dxa" w:w="1927"/>
          </w:tcPr>
          <w:p>
            <w:r>
              <w:t xml:space="preserve">То же + список контрибьюторов на сайте</w:t>
            </w:r>
          </w:p>
        </w:tc>
        <w:tc>
          <w:tcPr>
            <w:tcW w:type="dxa" w:w="1927"/>
          </w:tcPr>
          <w:p>
            <w:r>
              <w:t xml:space="preserve">Не выяснено</w:t>
            </w:r>
          </w:p>
        </w:tc>
        <w:tc>
          <w:tcPr>
            <w:tcW w:type="dxa" w:w="1927"/>
          </w:tcPr>
          <w:p>
            <w:r>
              <w:t xml:space="preserve">Не собирались (нет отзывов G2/Capterra в рамках доступного исследования)</w:t>
            </w:r>
          </w:p>
        </w:tc>
      </w:tr>
      <w:tr>
        <w:tc>
          <w:tcPr>
            <w:tcW w:type="dxa" w:w="1927"/>
          </w:tcPr>
          <w:p>
            <w:r>
              <w:t xml:space="preserve">Партнёрства</w:t>
            </w:r>
          </w:p>
        </w:tc>
        <w:tc>
          <w:tcPr>
            <w:tcW w:type="dxa" w:w="1927"/>
          </w:tcPr>
          <w:p>
            <w:r>
              <w:t xml:space="preserve">Встроен в десятки IDE</w:t>
            </w:r>
          </w:p>
        </w:tc>
        <w:tc>
          <w:tcPr>
            <w:tcW w:type="dxa" w:w="1927"/>
          </w:tcPr>
          <w:p>
            <w:r>
              <w:t xml:space="preserve">Встроен в GitHub/GitLab/Notion как платформенный стандарт</w:t>
            </w:r>
          </w:p>
        </w:tc>
        <w:tc>
          <w:tcPr>
            <w:tcW w:type="dxa" w:w="1927"/>
          </w:tcPr>
          <w:p>
            <w:r>
              <w:t xml:space="preserve">Не выяснено</w:t>
            </w:r>
          </w:p>
        </w:tc>
        <w:tc>
          <w:tcPr>
            <w:tcW w:type="dxa" w:w="1927"/>
          </w:tcPr>
          <w:p>
            <w:r>
              <w:t xml:space="preserve">GitHub/Notion/Confluence как маркетплейс-партнёры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7. Итоговые гипотезы для проверки (методика §11.4/§13.1 — структурированный список, а не рассеянные упоминания в прозе)</w:t>
      </w:r>
    </w:p>
    <w:p>
      <w:pPr>
        <w:spacing w:after="80"/>
      </w:pPr>
      <w:r>
        <w:t xml:space="preserve">1. </w:t>
      </w:r>
      <w:r>
        <w:rPr>
          <w:b/>
          <w:bCs/>
        </w:rPr>
        <w:t xml:space="preserve">Копировать</w:t>
      </w:r>
      <w:r>
        <w:t xml:space="preserve"> (рыночный стандарт, обязателен): текстовый DSL, браузерный рендер, интеграция с GitHub.</w:t>
      </w:r>
    </w:p>
    <w:p>
      <w:pPr>
        <w:spacing w:after="80"/>
      </w:pPr>
      <w:r>
        <w:t xml:space="preserve">2. </w:t>
      </w:r>
      <w:r>
        <w:rPr>
          <w:b/>
          <w:bCs/>
        </w:rPr>
        <w:t xml:space="preserve">Не копировать напрямую</w:t>
      </w:r>
      <w:r>
        <w:t xml:space="preserve">: ценовую модель Eraser.io «как есть» — она рассчитана на глобальный рынок с венчурным финансированием; для СНГ-сегмента нужна более дешёвая точка входа (см. ЛР2-3, допущение $8/участник/мес).</w:t>
      </w:r>
    </w:p>
    <w:p>
      <w:pPr>
        <w:spacing w:after="80"/>
      </w:pPr>
      <w:r>
        <w:t xml:space="preserve">3. </w:t>
      </w:r>
      <w:r>
        <w:rPr>
          <w:b/>
          <w:bCs/>
        </w:rPr>
        <w:t xml:space="preserve">Проверить в первую очередь</w:t>
      </w:r>
      <w:r>
        <w:t xml:space="preserve">: готовы ли реальные ПВТ-команды платить именно за охват нотаций (а не за AI как таковой) — это ключевая недоказанная гипотеза дифференциации.</w:t>
      </w:r>
    </w:p>
    <w:p>
      <w:pPr>
        <w:spacing w:after="80"/>
      </w:pPr>
      <w:r>
        <w:t xml:space="preserve">4. </w:t>
      </w:r>
      <w:r>
        <w:rPr>
          <w:b/>
          <w:bCs/>
        </w:rPr>
        <w:t xml:space="preserve">Исключить из первого релиза</w:t>
      </w:r>
      <w:r>
        <w:t xml:space="preserve">: SSO/enterprise-функции — по модели Кано это «безразличная» категория для стартового сегмента малых команд.</w:t>
      </w:r>
    </w:p>
    <w:p>
      <w:pPr>
        <w:pStyle w:val="Heading1"/>
        <w:spacing w:after="120" w:before="240"/>
      </w:pPr>
      <w:r>
        <w:t xml:space="preserve">8. Ограничения анализа (обязательный раздел по всем трём методичкам ЛР5 — ранее отсутствовал)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Анализ основан на публичных страницах сайтов конкурентов — не раскрывает фактическую конверсию, объём платящих пользователей, маржинальность или причины оттока.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Реальные данные SimilarWeb собраны по 4 из 9 конкурентов (PlantUML, MermaidChart, Eraser.io, draw.io/app.diagrams.net — см. ЛР2-3, снято 2026-09-17 и 2026-09-23); для D2 повторная попытка снова упёрлась в лимит бесплатного тарифа, для Lucidchart/Visio/AI-ассистентов данные не запрашивались. Поэтому полноценный индекс концентрации рынка (CR3/CR5) по всей выборке из 9 конкурентов по-прежнему не может быть посчитан — только CR-4 по 4 измеренным доменам (см. ЛР4, раздел 4), который не эквивалентен полной картине.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Оценки по 8 критериям (0–4 балла) — экспертные, основанные на изучении публичных страниц одним исследователем; не проходили независимую валидацию вторым оценщиком, что методика указывает как источник субъективной погрешности.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Цены и лимиты AI-кредитов конкурентов могут измениться после даты снятия (2026-09-17) — конкурентные тарифы одни из самых волатильных данных согласно методике.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2026-09-23T06:49:18.355Z</dcterms:created>
  <dcterms:modified xsi:type="dcterms:W3CDTF">2026-09-23T06:49:18.357Z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