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Краткое резюме проекта DiagramCode</w:t>
      </w:r>
    </w:p>
    <w:p>
      <w:pPr>
        <w:spacing w:after="120"/>
      </w:pPr>
      <w:r>
        <w:t xml:space="preserve">*Отдельный обязательный документ по шаблону </w:t>
      </w:r>
      <w:r>
        <w:rPr>
          <w:rFonts w:ascii="Consolas" w:cs="Consolas" w:eastAsia="Consolas" w:hAnsi="Consolas"/>
        </w:rPr>
        <w:t xml:space="preserve">Шаблон_краткого_резюме_проекта_.docx</w:t>
      </w:r>
      <w:r>
        <w:t xml:space="preserve"> — ранее не создавался как отдельный файл, только пересказывался внутри общего отчёта.*</w:t>
      </w:r>
    </w:p>
    <w:p>
      <w:pPr>
        <w:pStyle w:val="Heading1"/>
        <w:spacing w:after="120" w:before="240"/>
      </w:pPr>
      <w:r>
        <w:t xml:space="preserve">1. Паспорт проекта и управленческое решение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819"/>
          </w:tcPr>
          <w:p>
            <w:r>
              <w:t xml:space="preserve">Название проекта</w:t>
            </w:r>
          </w:p>
        </w:tc>
        <w:tc>
          <w:tcPr>
            <w:tcW w:type="dxa" w:w="4819"/>
          </w:tcPr>
          <w:p>
            <w:r>
              <w:t xml:space="preserve">DiagramCode</w:t>
            </w:r>
          </w:p>
        </w:tc>
      </w:tr>
      <w:tr>
        <w:tc>
          <w:tcPr>
            <w:tcW w:type="dxa" w:w="4819"/>
          </w:tcPr>
          <w:p>
            <w:r>
              <w:t xml:space="preserve">Инициатор</w:t>
            </w:r>
          </w:p>
        </w:tc>
        <w:tc>
          <w:tcPr>
            <w:tcW w:type="dxa" w:w="4819"/>
          </w:tcPr>
          <w:p>
            <w:r>
              <w:t xml:space="preserve">Ксения Хаджинова, ст. гр. 320604</w:t>
            </w:r>
          </w:p>
        </w:tc>
      </w:tr>
      <w:tr>
        <w:tc>
          <w:tcPr>
            <w:tcW w:type="dxa" w:w="4819"/>
          </w:tcPr>
          <w:p>
            <w:r>
              <w:t xml:space="preserve">Суть проекта в 1 предложении</w:t>
            </w:r>
          </w:p>
        </w:tc>
        <w:tc>
          <w:tcPr>
            <w:tcW w:type="dxa" w:w="4819"/>
          </w:tcPr>
          <w:p>
            <w:r>
              <w:t xml:space="preserve">Проект создаёт сервис диаграмм-как-код с AI-генерацией для команд разработки, чтобы решить потерю версионирования и неполный охват нотаций за счёт единого DSL-инструмента с полным набором инженерных нотаций</w:t>
            </w:r>
          </w:p>
        </w:tc>
      </w:tr>
      <w:tr>
        <w:tc>
          <w:tcPr>
            <w:tcW w:type="dxa" w:w="4819"/>
          </w:tcPr>
          <w:p>
            <w:r>
              <w:t xml:space="preserve">Запрашиваемое решение</w:t>
            </w:r>
          </w:p>
        </w:tc>
        <w:tc>
          <w:tcPr>
            <w:tcW w:type="dxa" w:w="4819"/>
          </w:tcPr>
          <w:p>
            <w:r>
              <w:t xml:space="preserve">Ограниченный старт (пилот на сегменте ПВТ Беларуси)</w:t>
            </w:r>
          </w:p>
        </w:tc>
      </w:tr>
      <w:tr>
        <w:tc>
          <w:tcPr>
            <w:tcW w:type="dxa" w:w="4819"/>
          </w:tcPr>
          <w:p>
            <w:r>
              <w:t xml:space="preserve">Граница первого старта</w:t>
            </w:r>
          </w:p>
        </w:tc>
        <w:tc>
          <w:tcPr>
            <w:tcW w:type="dxa" w:w="4819"/>
          </w:tcPr>
          <w:p>
            <w:r>
              <w:t xml:space="preserve">Беларусь (ПВТ) + русскоязычное СНГ, команды разработки ПО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2. Идея, рыночная возможность и достаточность рынка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Блок вывода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Краткая запись</w:t>
            </w:r>
          </w:p>
        </w:tc>
      </w:tr>
      <w:tr>
        <w:tc>
          <w:tcPr>
            <w:tcW w:type="dxa" w:w="4819"/>
          </w:tcPr>
          <w:p>
            <w:r>
              <w:t xml:space="preserve">Идея</w:t>
            </w:r>
          </w:p>
        </w:tc>
        <w:tc>
          <w:tcPr>
            <w:tcW w:type="dxa" w:w="4819"/>
          </w:tcPr>
          <w:p>
            <w:r>
              <w:t xml:space="preserve">Отсутствие версионирования у визуальных редакторов и неполный охват нотаций/AI у существующих DSL-инструментов проявляется у команд разработки, документирующих архитектуру в git</w:t>
            </w:r>
          </w:p>
        </w:tc>
      </w:tr>
      <w:tr>
        <w:tc>
          <w:tcPr>
            <w:tcW w:type="dxa" w:w="4819"/>
          </w:tcPr>
          <w:p>
            <w:r>
              <w:t xml:space="preserve">Спрос</w:t>
            </w:r>
          </w:p>
        </w:tc>
        <w:tc>
          <w:tcPr>
            <w:tcW w:type="dxa" w:w="4819"/>
          </w:tcPr>
          <w:p>
            <w:r>
              <w:t xml:space="preserve">Google Trends показывает рост индекса PlantUML на ≈231% за 3 года 3 месяца и Breakout-запрос </w:t>
            </w:r>
            <w:r>
              <w:rPr>
                <w:rFonts w:ascii="Consolas" w:cs="Consolas" w:eastAsia="Consolas" w:hAnsi="Consolas"/>
              </w:rPr>
              <w:t xml:space="preserve">text to diagram ai</w:t>
            </w:r>
          </w:p>
        </w:tc>
      </w:tr>
      <w:tr>
        <w:tc>
          <w:tcPr>
            <w:tcW w:type="dxa" w:w="4819"/>
          </w:tcPr>
          <w:p>
            <w:r>
              <w:t xml:space="preserve">Границы рынка</w:t>
            </w:r>
          </w:p>
        </w:tc>
        <w:tc>
          <w:tcPr>
            <w:tcW w:type="dxa" w:w="4819"/>
          </w:tcPr>
          <w:p>
            <w:r>
              <w:t xml:space="preserve">Беларусь + СНГ, команды разработки, DSL-инструменты с AI</w:t>
            </w:r>
          </w:p>
        </w:tc>
      </w:tr>
      <w:tr>
        <w:tc>
          <w:tcPr>
            <w:tcW w:type="dxa" w:w="4819"/>
          </w:tcPr>
          <w:p>
            <w:r>
              <w:t xml:space="preserve">Размер рынка</w:t>
            </w:r>
          </w:p>
        </w:tc>
        <w:tc>
          <w:tcPr>
            <w:tcW w:type="dxa" w:w="4819"/>
          </w:tcPr>
          <w:p>
            <w:r>
              <w:t xml:space="preserve">SOM ≈$9 600/год достаточен для проверки в 1-й год; SAM ≈$21 600–28 800/год; TAM (потолок) ≈$479 000/год</w:t>
            </w:r>
          </w:p>
        </w:tc>
      </w:tr>
      <w:tr>
        <w:tc>
          <w:tcPr>
            <w:tcW w:type="dxa" w:w="4819"/>
          </w:tcPr>
          <w:p>
            <w:r>
              <w:t xml:space="preserve">Барьеры входа и выхода</w:t>
            </w:r>
          </w:p>
        </w:tc>
        <w:tc>
          <w:tcPr>
            <w:tcW w:type="dxa" w:w="4819"/>
          </w:tcPr>
          <w:p>
            <w:r>
              <w:t xml:space="preserve">Главные барьеры — доверие (репутация с нуля против PlantUML) и растущие затраты на AI-провайдера; управляемы через специализацию и квоту запросов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Итог этапа</w:t>
      </w:r>
      <w:r>
        <w:t xml:space="preserve">: проект имеет основание для старта — подтверждены проблема, спрос (с региональной привязкой), понятная конкурентная позиция, управляемые барьеры и возможность проверить ценностное предложение в первом релизе.</w:t>
      </w:r>
    </w:p>
    <w:p>
      <w:pPr>
        <w:pStyle w:val="Heading1"/>
        <w:spacing w:after="120" w:before="240"/>
      </w:pPr>
      <w:r>
        <w:t xml:space="preserve">3. Конкурентная среда и незакрытая проблема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Вывод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Формулировка</w:t>
            </w:r>
          </w:p>
        </w:tc>
      </w:tr>
      <w:tr>
        <w:tc>
          <w:tcPr>
            <w:tcW w:type="dxa" w:w="4819"/>
          </w:tcPr>
          <w:p>
            <w:r>
              <w:t xml:space="preserve">Уровень конкуренции</w:t>
            </w:r>
          </w:p>
        </w:tc>
        <w:tc>
          <w:tcPr>
            <w:tcW w:type="dxa" w:w="4819"/>
          </w:tcPr>
          <w:p>
            <w:r>
              <w:t xml:space="preserve">Прямые: PlantUML, Mermaid, MermaidChart, Eraser.io. Близкие: D2, draw.io. Косвенный: Lucidchart. Заменитель: Visio</w:t>
            </w:r>
          </w:p>
        </w:tc>
      </w:tr>
      <w:tr>
        <w:tc>
          <w:tcPr>
            <w:tcW w:type="dxa" w:w="4819"/>
          </w:tcPr>
          <w:p>
            <w:r>
              <w:t xml:space="preserve">Рыночный стандарт</w:t>
            </w:r>
          </w:p>
        </w:tc>
        <w:tc>
          <w:tcPr>
            <w:tcW w:type="dxa" w:w="4819"/>
          </w:tcPr>
          <w:p>
            <w:r>
              <w:t xml:space="preserve">Текстовый DSL + браузерный рендер + интеграция с GitHub — обязательный минимум</w:t>
            </w:r>
          </w:p>
        </w:tc>
      </w:tr>
      <w:tr>
        <w:tc>
          <w:tcPr>
            <w:tcW w:type="dxa" w:w="4819"/>
          </w:tcPr>
          <w:p>
            <w:r>
              <w:t xml:space="preserve">Конкурентные преимущества</w:t>
            </w:r>
          </w:p>
        </w:tc>
        <w:tc>
          <w:tcPr>
            <w:tcW w:type="dxa" w:w="4819"/>
          </w:tcPr>
          <w:p>
            <w:r>
              <w:t xml:space="preserve">Полный охват инженерных нотаций (UML+ERD+IDEF+BPMN+сети Петри) в одном продукте — ни у кого из конкурентов нет</w:t>
            </w:r>
          </w:p>
        </w:tc>
      </w:tr>
      <w:tr>
        <w:tc>
          <w:tcPr>
            <w:tcW w:type="dxa" w:w="4819"/>
          </w:tcPr>
          <w:p>
            <w:r>
              <w:t xml:space="preserve">Главная проблема клиента</w:t>
            </w:r>
          </w:p>
        </w:tc>
        <w:tc>
          <w:tcPr>
            <w:tcW w:type="dxa" w:w="4819"/>
          </w:tcPr>
          <w:p>
            <w:r>
              <w:t xml:space="preserve">Клиент не может версионировать диаграммы как код и одновременно получать AI-генерацию и полный охват нотаций без переключения между несколькими инструментами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4. Ценностное предложение, цифровой товар и монетизация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Элемент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Содержание</w:t>
            </w:r>
          </w:p>
        </w:tc>
      </w:tr>
      <w:tr>
        <w:tc>
          <w:tcPr>
            <w:tcW w:type="dxa" w:w="4819"/>
          </w:tcPr>
          <w:p>
            <w:r>
              <w:t xml:space="preserve">Целевой сегмент</w:t>
            </w:r>
          </w:p>
        </w:tc>
        <w:tc>
          <w:tcPr>
            <w:tcW w:type="dxa" w:w="4819"/>
          </w:tcPr>
          <w:p>
            <w:r>
              <w:t xml:space="preserve">Команды разработки ПО и техписатели ПВТ Беларуси/СНГ</w:t>
            </w:r>
          </w:p>
        </w:tc>
      </w:tr>
      <w:tr>
        <w:tc>
          <w:tcPr>
            <w:tcW w:type="dxa" w:w="4819"/>
          </w:tcPr>
          <w:p>
            <w:r>
              <w:t xml:space="preserve">Опорная проблема</w:t>
            </w:r>
          </w:p>
        </w:tc>
        <w:tc>
          <w:tcPr>
            <w:tcW w:type="dxa" w:w="4819"/>
          </w:tcPr>
          <w:p>
            <w:r>
              <w:t xml:space="preserve">Потеря версионирования либо неполный охват нотаций+AI</w:t>
            </w:r>
          </w:p>
        </w:tc>
      </w:tr>
      <w:tr>
        <w:tc>
          <w:tcPr>
            <w:tcW w:type="dxa" w:w="4819"/>
          </w:tcPr>
          <w:p>
            <w:r>
              <w:t xml:space="preserve">Ценностное предложение</w:t>
            </w:r>
          </w:p>
        </w:tc>
        <w:tc>
          <w:tcPr>
            <w:tcW w:type="dxa" w:w="4819"/>
          </w:tcPr>
          <w:p>
            <w:r>
              <w:t xml:space="preserve">Для команд разработки, хранящих документацию в git, которые сталкиваются с потерей версионирования диаграмм, DiagramCode обеспечивает мгновенную версионируемую инженерную диаграмму из DSL или текста через AI с полным охватом нотаций, лучше чем PlantUML/Mermaid (нет AI) и Eraser.io (нет полного охвата)</w:t>
            </w:r>
          </w:p>
        </w:tc>
      </w:tr>
      <w:tr>
        <w:tc>
          <w:tcPr>
            <w:tcW w:type="dxa" w:w="4819"/>
          </w:tcPr>
          <w:p>
            <w:r>
              <w:t xml:space="preserve">Цифровой товар</w:t>
            </w:r>
          </w:p>
        </w:tc>
        <w:tc>
          <w:tcPr>
            <w:tcW w:type="dxa" w:w="4819"/>
          </w:tcPr>
          <w:p>
            <w:r>
              <w:t xml:space="preserve">IDE-оболочка (редактор + канвас) с AI-модалкой, версионированием и реестром нотаций</w:t>
            </w:r>
          </w:p>
        </w:tc>
      </w:tr>
      <w:tr>
        <w:tc>
          <w:tcPr>
            <w:tcW w:type="dxa" w:w="4819"/>
          </w:tcPr>
          <w:p>
            <w:r>
              <w:t xml:space="preserve">Единица монетизации</w:t>
            </w:r>
          </w:p>
        </w:tc>
        <w:tc>
          <w:tcPr>
            <w:tcW w:type="dxa" w:w="4819"/>
          </w:tcPr>
          <w:p>
            <w:r>
              <w:t xml:space="preserve">Подписка по местам, $8/участник/мес ≈ $480/год, AI-квота на тариф</w:t>
            </w:r>
          </w:p>
        </w:tc>
      </w:tr>
      <w:tr>
        <w:tc>
          <w:tcPr>
            <w:tcW w:type="dxa" w:w="4819"/>
          </w:tcPr>
          <w:p>
            <w:r>
              <w:t xml:space="preserve">Потенциал удержания</w:t>
            </w:r>
          </w:p>
        </w:tc>
        <w:tc>
          <w:tcPr>
            <w:tcW w:type="dxa" w:w="4819"/>
          </w:tcPr>
          <w:p>
            <w:r>
              <w:t xml:space="preserve">История версий, накопленный DSL-код команды — растущие издержки переключения со временем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5. Бизнес-модель по Канвас (сокращённо)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Блок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Содержание</w:t>
            </w:r>
          </w:p>
        </w:tc>
      </w:tr>
      <w:tr>
        <w:tc>
          <w:tcPr>
            <w:tcW w:type="dxa" w:w="4819"/>
          </w:tcPr>
          <w:p>
            <w:r>
              <w:t xml:space="preserve">Сегменты</w:t>
            </w:r>
          </w:p>
        </w:tc>
        <w:tc>
          <w:tcPr>
            <w:tcW w:type="dxa" w:w="4819"/>
          </w:tcPr>
          <w:p>
            <w:r>
              <w:t xml:space="preserve">ПВТ Беларусь → СНГ → глобальные разработчики</w:t>
            </w:r>
          </w:p>
        </w:tc>
      </w:tr>
      <w:tr>
        <w:tc>
          <w:tcPr>
            <w:tcW w:type="dxa" w:w="4819"/>
          </w:tcPr>
          <w:p>
            <w:r>
              <w:t xml:space="preserve">Ценность</w:t>
            </w:r>
          </w:p>
        </w:tc>
        <w:tc>
          <w:tcPr>
            <w:tcW w:type="dxa" w:w="4819"/>
          </w:tcPr>
          <w:p>
            <w:r>
              <w:t xml:space="preserve">Полный охват нотаций + AI + версионирование в одном продукте</w:t>
            </w:r>
          </w:p>
        </w:tc>
      </w:tr>
      <w:tr>
        <w:tc>
          <w:tcPr>
            <w:tcW w:type="dxa" w:w="4819"/>
          </w:tcPr>
          <w:p>
            <w:r>
              <w:t xml:space="preserve">Каналы</w:t>
            </w:r>
          </w:p>
        </w:tc>
        <w:tc>
          <w:tcPr>
            <w:tcW w:type="dxa" w:w="4819"/>
          </w:tcPr>
          <w:p>
            <w:r>
              <w:t xml:space="preserve">Органика (поиск, GitHub), сообщества разработчиков</w:t>
            </w:r>
          </w:p>
        </w:tc>
      </w:tr>
      <w:tr>
        <w:tc>
          <w:tcPr>
            <w:tcW w:type="dxa" w:w="4819"/>
          </w:tcPr>
          <w:p>
            <w:r>
              <w:t xml:space="preserve">Отношения</w:t>
            </w:r>
          </w:p>
        </w:tc>
        <w:tc>
          <w:tcPr>
            <w:tcW w:type="dxa" w:w="4819"/>
          </w:tcPr>
          <w:p>
            <w:r>
              <w:t xml:space="preserve">Самообслуживание (Free) + поддержка (платные тарифы)</w:t>
            </w:r>
          </w:p>
        </w:tc>
      </w:tr>
      <w:tr>
        <w:tc>
          <w:tcPr>
            <w:tcW w:type="dxa" w:w="4819"/>
          </w:tcPr>
          <w:p>
            <w:r>
              <w:t xml:space="preserve">Доходы</w:t>
            </w:r>
          </w:p>
        </w:tc>
        <w:tc>
          <w:tcPr>
            <w:tcW w:type="dxa" w:w="4819"/>
          </w:tcPr>
          <w:p>
            <w:r>
              <w:t xml:space="preserve">$8/участник/мес × количество мест в команде</w:t>
            </w:r>
          </w:p>
        </w:tc>
      </w:tr>
      <w:tr>
        <w:tc>
          <w:tcPr>
            <w:tcW w:type="dxa" w:w="4819"/>
          </w:tcPr>
          <w:p>
            <w:r>
              <w:t xml:space="preserve">Ресурсы и процессы</w:t>
            </w:r>
          </w:p>
        </w:tc>
        <w:tc>
          <w:tcPr>
            <w:tcW w:type="dxa" w:w="4819"/>
          </w:tcPr>
          <w:p>
            <w:r>
              <w:t xml:space="preserve">Реестр нотаций, AIProvider, DSL-грамматика; разработка по волнам</w:t>
            </w:r>
          </w:p>
        </w:tc>
      </w:tr>
      <w:tr>
        <w:tc>
          <w:tcPr>
            <w:tcW w:type="dxa" w:w="4819"/>
          </w:tcPr>
          <w:p>
            <w:r>
              <w:t xml:space="preserve">Партнёры и затраты</w:t>
            </w:r>
          </w:p>
        </w:tc>
        <w:tc>
          <w:tcPr>
            <w:tcW w:type="dxa" w:w="4819"/>
          </w:tcPr>
          <w:p>
            <w:r>
              <w:t xml:space="preserve">LLM-провайдер, GitHub, хостинг; переменные затраты — AI API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Итог этапа</w:t>
      </w:r>
      <w:r>
        <w:t xml:space="preserve">: бизнес-модель собрана — ценностное предложение, товар, монетизация, канал и первый релиз поддерживают одну и ту же задачу.</w:t>
      </w:r>
    </w:p>
    <w:p>
      <w:pPr>
        <w:pStyle w:val="Heading1"/>
        <w:spacing w:after="120" w:before="240"/>
      </w:pPr>
      <w:r>
        <w:t xml:space="preserve">6. Первый релиз, последующие релизы и техническое задание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Первый релиз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Следующие релизы</w:t>
            </w:r>
          </w:p>
        </w:tc>
      </w:tr>
      <w:tr>
        <w:tc>
          <w:tcPr>
            <w:tcW w:type="dxa" w:w="3212"/>
          </w:tcPr>
          <w:p>
            <w:r>
              <w:t xml:space="preserve">Функции</w:t>
            </w:r>
          </w:p>
        </w:tc>
        <w:tc>
          <w:tcPr>
            <w:tcW w:type="dxa" w:w="3212"/>
          </w:tcPr>
          <w:p>
            <w:r>
              <w:t xml:space="preserve">DSL-редактор, рендер, сохранение версий, оплата</w:t>
            </w:r>
          </w:p>
        </w:tc>
        <w:tc>
          <w:tcPr>
            <w:tcW w:type="dxa" w:w="3212"/>
          </w:tcPr>
          <w:p>
            <w:r>
              <w:t xml:space="preserve">Совместное редактирование, доп. нотации, OAuth</w:t>
            </w:r>
          </w:p>
        </w:tc>
      </w:tr>
      <w:tr>
        <w:tc>
          <w:tcPr>
            <w:tcW w:type="dxa" w:w="3212"/>
          </w:tcPr>
          <w:p>
            <w:r>
              <w:t xml:space="preserve">Страницы/экраны</w:t>
            </w:r>
          </w:p>
        </w:tc>
        <w:tc>
          <w:tcPr>
            <w:tcW w:type="dxa" w:w="3212"/>
          </w:tcPr>
          <w:p>
            <w:r>
              <w:t xml:space="preserve">Логин, IDE-оболочка, AI-модалка, тарифы/оплата</w:t>
            </w:r>
          </w:p>
        </w:tc>
        <w:tc>
          <w:tcPr>
            <w:tcW w:type="dxa" w:w="3212"/>
          </w:tcPr>
          <w:p>
            <w:r>
              <w:t xml:space="preserve">История версий с diff, GitHub/Google Drive интеграция</w:t>
            </w:r>
          </w:p>
        </w:tc>
      </w:tr>
      <w:tr>
        <w:tc>
          <w:tcPr>
            <w:tcW w:type="dxa" w:w="3212"/>
          </w:tcPr>
          <w:p>
            <w:r>
              <w:t xml:space="preserve">Критерий готовности</w:t>
            </w:r>
          </w:p>
        </w:tc>
        <w:tc>
          <w:tcPr>
            <w:tcW w:type="dxa" w:w="3212"/>
          </w:tcPr>
          <w:p>
            <w:r>
              <w:t xml:space="preserve">Клиент может понять ценность, сохранить диаграмму и оплатить AI-квоту</w:t>
            </w:r>
          </w:p>
        </w:tc>
        <w:tc>
          <w:tcPr>
            <w:tcW w:type="dxa" w:w="3212"/>
          </w:tcPr>
          <w:p>
            <w:r>
              <w:t xml:space="preserve">Клиент возвращается и расширяет использование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7. Ключевые показатели, риски и условия инвестиционного решения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Блок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Показатель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Плановое значение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Что означает</w:t>
            </w:r>
          </w:p>
        </w:tc>
      </w:tr>
      <w:tr>
        <w:tc>
          <w:tcPr>
            <w:tcW w:type="dxa" w:w="2409"/>
          </w:tcPr>
          <w:p>
            <w:r>
              <w:t xml:space="preserve">Спрос</w:t>
            </w:r>
          </w:p>
        </w:tc>
        <w:tc>
          <w:tcPr>
            <w:tcW w:type="dxa" w:w="2409"/>
          </w:tcPr>
          <w:p>
            <w:r>
              <w:t xml:space="preserve">Регистрации в 1-й месяц</w:t>
            </w:r>
          </w:p>
        </w:tc>
        <w:tc>
          <w:tcPr>
            <w:tcW w:type="dxa" w:w="2409"/>
          </w:tcPr>
          <w:p>
            <w:r>
              <w:t xml:space="preserve">Не задано — требует пилота</w:t>
            </w:r>
          </w:p>
        </w:tc>
        <w:tc>
          <w:tcPr>
            <w:tcW w:type="dxa" w:w="2409"/>
          </w:tcPr>
          <w:p>
            <w:r>
              <w:t xml:space="preserve">Проверка реального интереса</w:t>
            </w:r>
          </w:p>
        </w:tc>
      </w:tr>
      <w:tr>
        <w:tc>
          <w:tcPr>
            <w:tcW w:type="dxa" w:w="2409"/>
          </w:tcPr>
          <w:p>
            <w:r>
              <w:t xml:space="preserve">Конверсия</w:t>
            </w:r>
          </w:p>
        </w:tc>
        <w:tc>
          <w:tcPr>
            <w:tcW w:type="dxa" w:w="2409"/>
          </w:tcPr>
          <w:p>
            <w:r>
              <w:t xml:space="preserve">Free → платный после исчерпания AI-квоты</w:t>
            </w:r>
          </w:p>
        </w:tc>
        <w:tc>
          <w:tcPr>
            <w:tcW w:type="dxa" w:w="2409"/>
          </w:tcPr>
          <w:p>
            <w:r>
              <w:t xml:space="preserve">Не задано — требует пилота</w:t>
            </w:r>
          </w:p>
        </w:tc>
        <w:tc>
          <w:tcPr>
            <w:tcW w:type="dxa" w:w="2409"/>
          </w:tcPr>
          <w:p>
            <w:r>
              <w:t xml:space="preserve">Работоспособность точки монетизации</w:t>
            </w:r>
          </w:p>
        </w:tc>
      </w:tr>
      <w:tr>
        <w:tc>
          <w:tcPr>
            <w:tcW w:type="dxa" w:w="2409"/>
          </w:tcPr>
          <w:p>
            <w:r>
              <w:t xml:space="preserve">Экономика</w:t>
            </w:r>
          </w:p>
        </w:tc>
        <w:tc>
          <w:tcPr>
            <w:tcW w:type="dxa" w:w="2409"/>
          </w:tcPr>
          <w:p>
            <w:r>
              <w:t xml:space="preserve">Выручка при SOM-сценарии</w:t>
            </w:r>
          </w:p>
        </w:tc>
        <w:tc>
          <w:tcPr>
            <w:tcW w:type="dxa" w:w="2409"/>
          </w:tcPr>
          <w:p>
            <w:r>
              <w:t xml:space="preserve">≈$9 600/год</w:t>
            </w:r>
          </w:p>
        </w:tc>
        <w:tc>
          <w:tcPr>
            <w:tcW w:type="dxa" w:w="2409"/>
          </w:tcPr>
          <w:p>
            <w:r>
              <w:t xml:space="preserve">Минимальная проверка окупаемости</w:t>
            </w:r>
          </w:p>
        </w:tc>
      </w:tr>
      <w:tr>
        <w:tc>
          <w:tcPr>
            <w:tcW w:type="dxa" w:w="2409"/>
          </w:tcPr>
          <w:p>
            <w:r>
              <w:t xml:space="preserve">Риски</w:t>
            </w:r>
          </w:p>
        </w:tc>
        <w:tc>
          <w:tcPr>
            <w:tcW w:type="dxa" w:w="2409"/>
          </w:tcPr>
          <w:p>
            <w:r>
              <w:t xml:space="preserve">Рост затрат на LLM API быстрее платящей базы</w:t>
            </w:r>
          </w:p>
        </w:tc>
        <w:tc>
          <w:tcPr>
            <w:tcW w:type="dxa" w:w="2409"/>
          </w:tcPr>
          <w:p>
            <w:r>
              <w:t xml:space="preserve">Высокий</w:t>
            </w:r>
          </w:p>
        </w:tc>
        <w:tc>
          <w:tcPr>
            <w:tcW w:type="dxa" w:w="2409"/>
          </w:tcPr>
          <w:p>
            <w:r>
              <w:t xml:space="preserve">Контролируется AI-квотой (20 запросов/день)</w:t>
            </w:r>
          </w:p>
        </w:tc>
      </w:tr>
      <w:tr>
        <w:tc>
          <w:tcPr>
            <w:tcW w:type="dxa" w:w="2409"/>
          </w:tcPr>
          <w:p>
            <w:r>
              <w:t xml:space="preserve">Риски</w:t>
            </w:r>
          </w:p>
        </w:tc>
        <w:tc>
          <w:tcPr>
            <w:tcW w:type="dxa" w:w="2409"/>
          </w:tcPr>
          <w:p>
            <w:r>
              <w:t xml:space="preserve">Низкое доверие против PlantUML</w:t>
            </w:r>
          </w:p>
        </w:tc>
        <w:tc>
          <w:tcPr>
            <w:tcW w:type="dxa" w:w="2409"/>
          </w:tcPr>
          <w:p>
            <w:r>
              <w:t xml:space="preserve">Высокий</w:t>
            </w:r>
          </w:p>
        </w:tc>
        <w:tc>
          <w:tcPr>
            <w:tcW w:type="dxa" w:w="2409"/>
          </w:tcPr>
          <w:p>
            <w:r>
              <w:t xml:space="preserve">Контролируется через специализацию на охвате нотаций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8. Итоговая формулировка решения</w:t>
      </w:r>
    </w:p>
    <w:p>
      <w:pPr>
        <w:spacing w:after="120"/>
      </w:pPr>
      <w:r>
        <w:rPr>
          <w:b/>
          <w:bCs/>
        </w:rPr>
        <w:t xml:space="preserve">Пилот</w:t>
      </w:r>
      <w:r>
        <w:t xml:space="preserve">: рекомендуется ограниченный пилот в границах ПВТ Беларуси/СНГ, поскольку ценностное предложение перспективно, но требует проверки готовности реальных команд платить именно за охват нотаций, а не за AI как таковой. Объём пилота: первый релиз в минимальном составе; критерий продолжения — конверсия Free → платный тариф выше нуля в течение первых 3 месяцев.</w:t>
      </w:r>
    </w:p>
    <w:p>
      <w:pPr>
        <w:pStyle w:val="Heading1"/>
        <w:spacing w:after="120" w:before="240"/>
      </w:pPr>
      <w:r>
        <w:t xml:space="preserve">9. Краткий вывод</w:t>
      </w:r>
    </w:p>
    <w:p>
      <w:pPr>
        <w:spacing w:after="120"/>
      </w:pPr>
      <w:r>
        <w:t xml:space="preserve">Проект DiagramCode целесообразно рассматривать как SaaS-инструмент диаграмм-как-код с AI-генерацией для команд разработки ПВТ Беларуси/СНГ. Его ценность основана на решении проблемы разрыва между версионированием и AI+полнотой охвата нотаций, подтверждённой реальными данными Google Trends (рост категории, региональное совпадение) и анализом конкурентов (незакрытая ниша). Первый релиз должен быть ограничен функциями DSL-редактор + рендер + версии + оплата, которые сохраняют ключевое ценностное обещание и позволяют проверить спрос, оплату и удержание. Инвестиционное решение: </w:t>
      </w:r>
      <w:r>
        <w:rPr>
          <w:b/>
          <w:bCs/>
        </w:rPr>
        <w:t xml:space="preserve">пилот</w:t>
      </w:r>
      <w:r>
        <w:t xml:space="preserve"> при условии контроля затрат на AI-провайдера квотой.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2026-09-22T13:07:33.447Z</dcterms:created>
  <dcterms:modified xsi:type="dcterms:W3CDTF">2026-09-22T13:07:33.448Z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