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июнь 2026</w:t>
      </w:r>
    </w:p>
    <w:p w14:paraId="08A1877C" w14:textId="77777777" w:rsidR="00D329F4" w:rsidRDefault="00AB640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79DCB4D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1.1 Компетенция, бизнес-идея и паспорт гипотезы</w:t>
      </w:r>
      <w:bookmarkEnd w:id="3"/>
    </w:p>
    <w:p>
      <w:pPr>
        <w:pStyle w:val="Normal"/>
      </w:pPr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>
      <w:pPr>
        <w:pStyle w:val="Normal"/>
      </w:pP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>
      <w:pPr>
        <w:pStyle w:val="Normal"/>
      </w:pPr>
    </w:p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>
      <w:pPr>
        <w:pStyle w:val="Normal"/>
      </w:pP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>
      <w:pPr>
        <w:pStyle w:val="Normal"/>
      </w:pPr>
    </w:p>
    <w:p w14:paraId="37BC0BB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4" w:name="X4249dc9630c96e75cd39a00c94f6a6780c6ec03"/>
      <w:r>
        <w:rPr>
          <w:rFonts w:ascii="Times New Roman" w:hAnsi="Times New Roman"/>
          <w:sz w:val="28"/>
        </w:rPr>
        <w:t>1.1.1 Проблема аудитории и коммерческое предложение по сегментам</w:t>
      </w:r>
    </w:p>
    <w:p>
      <w:pPr>
        <w:pStyle w:val="Normal"/>
      </w:pP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>
      <w:pPr>
        <w:pStyle w:val="Normal"/>
      </w:pPr>
    </w:p>
    <w:p w14:paraId="5B8D180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1.2 Семантическое ядро</w:t>
      </w:r>
      <w:bookmarkEnd w:id="6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разделе формируется семантическое ядро — перечень ключевых запросов, наиболее точно отражающих спрос целевой аудитории на продукт NotaCode.</w:t>
      </w:r>
    </w:p>
    <w:p w14:paraId="4EE07C1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sz w:val="28"/>
        </w:rPr>
        <w:t>1.2.1 Карта поисковых запросов</w:t>
      </w:r>
    </w:p>
    <w:p>
      <w:pPr>
        <w:pStyle w:val="Normal"/>
      </w:pP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>
      <w:pPr>
        <w:pStyle w:val="Normal"/>
      </w:pP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>
      <w:pPr>
        <w:pStyle w:val="Normal"/>
      </w:pPr>
    </w:p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>
      <w:pPr>
        <w:pStyle w:val="Normal"/>
      </w:pP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>
      <w:pPr>
        <w:pStyle w:val="Normal"/>
      </w:pPr>
    </w:p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>
      <w:pPr>
        <w:pStyle w:val="Normal"/>
      </w:pP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>
      <w:pPr>
        <w:pStyle w:val="Normal"/>
      </w:pPr>
    </w:p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>
      <w:pPr>
        <w:pStyle w:val="Normal"/>
      </w:pP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>
      <w:pPr>
        <w:pStyle w:val="Normal"/>
      </w:pPr>
    </w:p>
    <w:p w14:paraId="269D186E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1.2.2 Уровень интереса по семантическому ядру</w:t>
      </w:r>
    </w:p>
    <w:p>
      <w:pPr>
        <w:pStyle w:val="Normal"/>
      </w:pP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>
      <w:pPr>
        <w:pStyle w:val="Normal"/>
      </w:pP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>
      <w:pPr>
        <w:pStyle w:val="Normal"/>
      </w:pPr>
    </w:p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>
      <w:pPr>
        <w:pStyle w:val="Normal"/>
      </w:pPr>
    </w:p>
    <w:p w14:paraId="221F3CAA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t>1.2.3 Приоритизация кластеров и вывод по семантическому ядру</w:t>
      </w:r>
    </w:p>
    <w:p>
      <w:pPr>
        <w:pStyle w:val="Normal"/>
      </w:pP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>
      <w:pPr>
        <w:pStyle w:val="Normal"/>
      </w:pP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>
      <w:pPr>
        <w:pStyle w:val="Normal"/>
      </w:pPr>
    </w:p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>
      <w:pPr>
        <w:pStyle w:val="Normal"/>
      </w:pP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>
      <w:pPr>
        <w:pStyle w:val="Normal"/>
      </w:pPr>
    </w:p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>
      <w:pPr>
        <w:pStyle w:val="Normal"/>
      </w:pPr>
    </w:p>
    <w:p w14:paraId="732362F0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1.3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2F97899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2" w:name="настройки-и-протокол"/>
      <w:r>
        <w:rPr>
          <w:rFonts w:ascii="Times New Roman" w:hAnsi="Times New Roman"/>
          <w:sz w:val="28"/>
        </w:rPr>
        <w:t>1.3.1 Настройки и протокол</w:t>
      </w:r>
    </w:p>
    <w:p>
      <w:pPr>
        <w:pStyle w:val="Normal"/>
      </w:pP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>
      <w:pPr>
        <w:pStyle w:val="Normal"/>
      </w:pP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,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>
      <w:pPr>
        <w:pStyle w:val="Normal"/>
      </w:pPr>
    </w:p>
    <w:p w14:paraId="442A60E6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t>1.3.2 Результаты по пакетам</w:t>
      </w:r>
    </w:p>
    <w:p>
      <w:pPr>
        <w:pStyle w:val="Normal"/>
      </w:pPr>
    </w:p>
    <w:p w14:paraId="28D4274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>
      <w:pPr>
        <w:pStyle w:val="Normal"/>
      </w:pPr>
    </w:p>
    <w:p w14:paraId="54CE36A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1.3.3 Показатели и уровень интереса</w:t>
      </w:r>
    </w:p>
    <w:p>
      <w:pPr>
        <w:pStyle w:val="Normal"/>
      </w:pP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>
      <w:pPr>
        <w:pStyle w:val="Normal"/>
      </w:pP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>
      <w:pPr>
        <w:pStyle w:val="Normal"/>
      </w:pPr>
    </w:p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586D9F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>
      <w:pPr>
        <w:pStyle w:val="Normal"/>
      </w:pP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>
      <w:pPr>
        <w:pStyle w:val="Normal"/>
      </w:pPr>
    </w:p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>
      <w:pPr>
        <w:pStyle w:val="Normal"/>
      </w:pP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>
      <w:pPr>
        <w:pStyle w:val="Normal"/>
      </w:pPr>
    </w:p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>
      <w:pPr>
        <w:pStyle w:val="Normal"/>
      </w:pPr>
    </w:p>
    <w:p w14:paraId="5DD6D1F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1.3.4 Интегральная оценка направлений</w:t>
      </w:r>
    </w:p>
    <w:p>
      <w:pPr>
        <w:pStyle w:val="Normal"/>
      </w:pP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>
      <w:pPr>
        <w:pStyle w:val="Normal"/>
      </w:pP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>
      <w:pPr>
        <w:pStyle w:val="Normal"/>
      </w:pPr>
    </w:p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>
      <w:pPr>
        <w:pStyle w:val="Normal"/>
      </w:pPr>
    </w:p>
    <w:p w14:paraId="1930F7D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1.3.5 Чек-лист настройки и управленческий вывод</w:t>
      </w:r>
    </w:p>
    <w:p>
      <w:pPr>
        <w:pStyle w:val="Normal"/>
      </w:pP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>
      <w:pPr>
        <w:pStyle w:val="Normal"/>
      </w:pP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>
      <w:pPr>
        <w:pStyle w:val="Normal"/>
      </w:pPr>
    </w:p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>
      <w:pPr>
        <w:pStyle w:val="Normal"/>
      </w:pPr>
    </w:p>
    <w:p w14:paraId="6AB364DB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1.4 Яндекс Вордстат: данные по Беларуси</w:t>
      </w:r>
      <w:bookmarkEnd w:id="18"/>
    </w:p>
    <w:p>
      <w:pPr>
        <w:pStyle w:val="Normal"/>
      </w:pPr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>
      <w:pPr>
        <w:pStyle w:val="Normal"/>
      </w:pP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>
      <w:pPr>
        <w:pStyle w:val="Normal"/>
      </w:pPr>
    </w:p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>
      <w:pPr>
        <w:pStyle w:val="Normal"/>
      </w:pPr>
    </w:p>
    <w:p w14:paraId="6485B5FB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9" w:name="X7d671f3519d01dd9ff7d53297ea132a0f893ea4"/>
      <w:r>
        <w:rPr>
          <w:rFonts w:ascii="Times New Roman" w:hAnsi="Times New Roman"/>
          <w:sz w:val="28"/>
        </w:rPr>
        <w:t>1.4.1 Конкуренты-заменители и генерация диаграмм с помощью нейросети</w:t>
      </w:r>
    </w:p>
    <w:p>
      <w:pPr>
        <w:pStyle w:val="Normal"/>
      </w:pP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>
      <w:pPr>
        <w:pStyle w:val="Normal"/>
      </w:pP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>
      <w:pPr>
        <w:pStyle w:val="Normal"/>
      </w:pPr>
    </w:p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>
      <w:pPr>
        <w:pStyle w:val="Normal"/>
      </w:pP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>
      <w:pPr>
        <w:pStyle w:val="Normal"/>
      </w:pPr>
    </w:p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>
      <w:pPr>
        <w:pStyle w:val="Normal"/>
      </w:pPr>
    </w:p>
    <w:p w14:paraId="01E7BB42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1.4.2 Динамика и регионы</w:t>
      </w:r>
    </w:p>
    <w:p>
      <w:pPr>
        <w:pStyle w:val="Normal"/>
      </w:pP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>
      <w:pPr>
        <w:pStyle w:val="Normal"/>
      </w:pP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>
      <w:pPr>
        <w:pStyle w:val="Normal"/>
      </w:pPr>
    </w:p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>
      <w:pPr>
        <w:pStyle w:val="Normal"/>
      </w:pP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>
      <w:pPr>
        <w:pStyle w:val="Normal"/>
      </w:pPr>
    </w:p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>
      <w:pPr>
        <w:pStyle w:val="Normal"/>
      </w:pPr>
    </w:p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>
      <w:pPr>
        <w:pStyle w:val="Normal"/>
      </w:pP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>
      <w:pPr>
        <w:pStyle w:val="Normal"/>
      </w:pPr>
    </w:p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>
      <w:pPr>
        <w:pStyle w:val="Normal"/>
      </w:pP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>
      <w:pPr>
        <w:pStyle w:val="Normal"/>
      </w:pPr>
    </w:p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>
      <w:pPr>
        <w:pStyle w:val="Normal"/>
      </w:pPr>
    </w:p>
    <w:p w14:paraId="4AB5789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t>1.4.3 Уровень интереса по Вордстату</w:t>
      </w:r>
    </w:p>
    <w:p>
      <w:pPr>
        <w:pStyle w:val="Normal"/>
      </w:pP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>
      <w:pPr>
        <w:pStyle w:val="Normal"/>
      </w:pP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>
      <w:pPr>
        <w:pStyle w:val="Normal"/>
      </w:pPr>
    </w:p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>
      <w:pPr>
        <w:pStyle w:val="Normal"/>
      </w:pP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>
      <w:pPr>
        <w:pStyle w:val="Normal"/>
      </w:pPr>
    </w:p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>
      <w:pPr>
        <w:pStyle w:val="Normal"/>
      </w:pP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>
      <w:pPr>
        <w:pStyle w:val="Normal"/>
      </w:pPr>
    </w:p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>
      <w:pPr>
        <w:pStyle w:val="Normal"/>
      </w:pP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>
      <w:pPr>
        <w:pStyle w:val="Normal"/>
      </w:pPr>
    </w:p>
    <w:p w14:paraId="6865AB9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>
      <w:pPr>
        <w:pStyle w:val="Normal"/>
      </w:pPr>
    </w:p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>
      <w:pPr>
        <w:pStyle w:val="Normal"/>
      </w:pPr>
    </w:p>
    <w:p w14:paraId="7DFF120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1.5 Выгрузка данных: минимальный набор и контроль качества</w:t>
      </w:r>
      <w:bookmarkEnd w:id="23"/>
    </w:p>
    <w:p>
      <w:pPr>
        <w:pStyle w:val="Normal"/>
      </w:pP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>
      <w:pPr>
        <w:pStyle w:val="Normal"/>
      </w:pPr>
    </w:p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>
      <w:pPr>
        <w:pStyle w:val="Normal"/>
      </w:pP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>
      <w:pPr>
        <w:pStyle w:val="Normal"/>
      </w:pPr>
    </w:p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>
      <w:pPr>
        <w:pStyle w:val="Normal"/>
      </w:pP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>
      <w:pPr>
        <w:pStyle w:val="Normal"/>
      </w:pPr>
    </w:p>
    <w:p w14:paraId="3BDB724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1.6 Тренд, сезонность и деловые циклы</w:t>
      </w:r>
      <w:bookmarkEnd w:id="25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6CBC37A7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1.6.1 Выбор кластера и подготовка ряда</w:t>
      </w:r>
    </w:p>
    <w:p>
      <w:pPr>
        <w:pStyle w:val="Normal"/>
      </w:pP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>
      <w:pPr>
        <w:pStyle w:val="Normal"/>
      </w:pPr>
    </w:p>
    <w:p w14:paraId="0480D43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1.6.2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>
      <w:pPr>
        <w:pStyle w:val="Normal"/>
      </w:pP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>
      <w:pPr>
        <w:pStyle w:val="Normal"/>
      </w:pP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>
      <w:pPr>
        <w:pStyle w:val="Normal"/>
      </w:pPr>
    </w:p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>
      <w:pPr>
        <w:pStyle w:val="Normal"/>
      </w:pP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>: начало ,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Пик: 1-й год ,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21,3 , 12,0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55,2 , 56,5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61,4 , 35,2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2850 , 1938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21,0 , 11,2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68,0 , 44,5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73,8 , 41,3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1724 , 974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>
      <w:pPr>
        <w:pStyle w:val="Normal"/>
      </w:pPr>
    </w:p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>
      <w:pPr>
        <w:pStyle w:val="Normal"/>
      </w:pPr>
    </w:p>
    <w:p w14:paraId="452ED83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1.6.3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>
      <w:pPr>
        <w:pStyle w:val="Normal"/>
      </w:pP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>
      <w:pPr>
        <w:pStyle w:val="Normal"/>
      </w:pP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>
      <w:pPr>
        <w:pStyle w:val="Normal"/>
      </w:pPr>
    </w:p>
    <w:p w14:paraId="102E46D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>
      <w:pPr>
        <w:pStyle w:val="Normal"/>
      </w:pPr>
    </w:p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>
      <w:pPr>
        <w:pStyle w:val="Normal"/>
      </w:pPr>
    </w:p>
    <w:p w14:paraId="4CC953C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1.6.4 Деловые циклы</w:t>
      </w:r>
    </w:p>
    <w:p>
      <w:pPr>
        <w:pStyle w:val="Normal"/>
      </w:pP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>
      <w:pPr>
        <w:pStyle w:val="Normal"/>
      </w:pP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>
      <w:pPr>
        <w:pStyle w:val="Normal"/>
      </w:pPr>
    </w:p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>
      <w:pPr>
        <w:pStyle w:val="Normal"/>
      </w:pP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21,3 , 12,0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21,0 , 11,2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>
      <w:pPr>
        <w:pStyle w:val="Normal"/>
      </w:pPr>
    </w:p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4738DC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>
      <w:pPr>
        <w:pStyle w:val="Normal"/>
      </w:pPr>
    </w:p>
    <w:p w14:paraId="7A67B60F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1.6.5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>
      <w:pPr>
        <w:pStyle w:val="Normal"/>
      </w:pP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>
      <w:pPr>
        <w:pStyle w:val="Normal"/>
      </w:pPr>
    </w:p>
    <w:p w14:paraId="6E1F922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1.7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>
      <w:pPr>
        <w:pStyle w:val="Normal"/>
      </w:pPr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>
      <w:pPr>
        <w:pStyle w:val="Normal"/>
      </w:pP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>
      <w:pPr>
        <w:pStyle w:val="Normal"/>
      </w:pPr>
    </w:p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>
      <w:pPr>
        <w:pStyle w:val="Normal"/>
      </w:pPr>
    </w:p>
    <w:p w14:paraId="2FE78E62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1.8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>
      <w:pPr>
        <w:pStyle w:val="Normal"/>
      </w:pPr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Global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Monthly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214 380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>
      <w:pPr>
        <w:pStyle w:val="Normal"/>
      </w:pPr>
    </w:p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>
      <w:pPr>
        <w:pStyle w:val="Normal"/>
      </w:pP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, 228,0 , 222,5 , 224,2 ,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>
      <w:pPr>
        <w:pStyle w:val="Normal"/>
      </w:pPr>
    </w:p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>
      <w:pPr>
        <w:pStyle w:val="Normal"/>
      </w:pP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>
      <w:pPr>
        <w:pStyle w:val="Normal"/>
      </w:pPr>
    </w:p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>
      <w:pPr>
        <w:pStyle w:val="Normal"/>
      </w:pPr>
    </w:p>
    <w:p w14:paraId="7BD7CCF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1.9 Границы рынка</w:t>
      </w:r>
      <w:bookmarkEnd w:id="36"/>
    </w:p>
    <w:p>
      <w:pPr>
        <w:pStyle w:val="Normal"/>
      </w:pPr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>
      <w:pPr>
        <w:pStyle w:val="Normal"/>
      </w:pP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>
      <w:pPr>
        <w:pStyle w:val="Normal"/>
      </w:pPr>
    </w:p>
    <w:p w14:paraId="4D52A93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>
      <w:pPr>
        <w:pStyle w:val="Normal"/>
      </w:pPr>
    </w:p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>
      <w:pPr>
        <w:pStyle w:val="Normal"/>
      </w:pPr>
    </w:p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>
      <w:pPr>
        <w:pStyle w:val="Normal"/>
      </w:pP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</w:tbl>
    <w:p>
      <w:pPr>
        <w:pStyle w:val="Normal"/>
      </w:pPr>
    </w:p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>
      <w:pPr>
        <w:pStyle w:val="Normal"/>
      </w:pP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>
      <w:pPr>
        <w:pStyle w:val="Normal"/>
      </w:pPr>
    </w:p>
    <w:p w14:paraId="7C614B3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1.10 Аргументация выбора идеи и территории</w:t>
      </w:r>
      <w:bookmarkEnd w:id="38"/>
    </w:p>
    <w:p>
      <w:pPr>
        <w:pStyle w:val="Normal"/>
      </w:pPr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>
      <w:pPr>
        <w:pStyle w:val="Normal"/>
      </w:pP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>
      <w:pPr>
        <w:pStyle w:val="Normal"/>
      </w:pPr>
    </w:p>
    <w:p w14:paraId="670FA6A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>
      <w:pPr>
        <w:pStyle w:val="Normal"/>
      </w:pPr>
    </w:p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>
      <w:pPr>
        <w:pStyle w:val="Normal"/>
      </w:pP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>
      <w:pPr>
        <w:pStyle w:val="Normal"/>
      </w:pPr>
    </w:p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>
      <w:pPr>
        <w:pStyle w:val="Normal"/>
      </w:pP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>
      <w:pPr>
        <w:pStyle w:val="Normal"/>
      </w:pPr>
    </w:p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>
      <w:pPr>
        <w:pStyle w:val="Normal"/>
      </w:pP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>
      <w:pPr>
        <w:pStyle w:val="Normal"/>
      </w:pPr>
    </w:p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>
      <w:pPr>
        <w:pStyle w:val="Normal"/>
      </w:pP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>
      <w:pPr>
        <w:pStyle w:val="Normal"/>
      </w:pPr>
    </w:p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>
      <w:pPr>
        <w:pStyle w:val="Normal"/>
      </w:pP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>
      <w:pPr>
        <w:pStyle w:val="Normal"/>
      </w:pPr>
    </w:p>
    <w:p w14:paraId="72531FE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t>1.11 Переход к анализу рынка</w:t>
      </w:r>
      <w:bookmarkEnd w:id="40"/>
    </w:p>
    <w:p>
      <w:pPr>
        <w:pStyle w:val="Normal"/>
      </w:pPr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t>2 ОТВЕТЫ НА КОНТРОЛЬНЫЕ ВОПРОСЫ</w:t>
      </w:r>
      <w:bookmarkEnd w:id="42"/>
    </w:p>
    <w:p>
      <w:pPr>
        <w:pStyle w:val="Normal"/>
      </w:pPr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580B619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>
      <w:pPr>
        <w:pStyle w:val="Normal"/>
      </w:pPr>
    </w:p>
    <w:p w14:paraId="2DD94F4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>
      <w:pPr>
        <w:pStyle w:val="Normal"/>
      </w:pPr>
    </w:p>
    <w:p w14:paraId="75A3E4C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>
      <w:pPr>
        <w:pStyle w:val="Normal"/>
      </w:pPr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>
      <w:pPr>
        <w:pStyle w:val="Normal"/>
      </w:pP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>
      <w:pPr>
        <w:pStyle w:val="Normal"/>
      </w:pP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5C8094F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>
      <w:pPr>
        <w:pStyle w:val="Normal"/>
      </w:pPr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>
      <w:pPr>
        <w:pStyle w:val="Normal"/>
      </w:pP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>
      <w:pPr>
        <w:pStyle w:val="Normal"/>
      </w:pPr>
    </w:p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