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цель-работы"/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Министерство образования Республики Беларусь</w:t>
      </w: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Учреждение образования</w:t>
      </w: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БЕЛОРУССКИЙ ГОСУДАРСТВЕННЫЙ УНИВЕРСИТЕТ</w:t>
      </w: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ИНФОРМАТИКИ И РАДИОЭЛЕКТРОНИКИ</w:t>
      </w: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Факультет информационных технологий и управления</w:t>
      </w: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Кафедра информационных технологий автоматизированных систем</w:t>
      </w: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ОТЧЕТ</w:t>
      </w: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по лабораторной работе №1</w:t>
      </w: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по дисциплине</w:t>
      </w: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«Электронный бизнес»</w:t>
      </w: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на тему «Анализ поискового спроса и фиксация границ рынка»</w:t>
      </w: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tabs>
          <w:tab w:pos="6520" w:val="left"/>
        </w:tabs>
        <w:spacing w:before="0" w:after="0" w:lineRule="exact" w:line="360"/>
        <w:ind w:firstLine="0" w:left="0"/>
        <w:jc w:val="left"/>
      </w:pPr>
      <w:r>
        <w:rPr>
          <w:sz w:val="28"/>
        </w:rPr>
        <w:t>Выполнила:</w:t>
      </w:r>
      <w:r>
        <w:rPr>
          <w:sz w:val="28"/>
        </w:rPr>
        <w:tab/>
        <w:t>ст. гр. 320604</w:t>
      </w:r>
    </w:p>
    <w:p>
      <w:pPr>
        <w:keepNext w:val="0"/>
        <w:tabs>
          <w:tab w:pos="6520" w:val="left"/>
        </w:tabs>
        <w:spacing w:before="0" w:after="0" w:lineRule="exact" w:line="360"/>
        <w:ind w:firstLine="0" w:left="0"/>
        <w:jc w:val="left"/>
      </w:pPr>
      <w:r>
        <w:rPr>
          <w:sz w:val="28"/>
        </w:rPr>
      </w:r>
      <w:r>
        <w:rPr>
          <w:sz w:val="28"/>
        </w:rPr>
        <w:tab/>
        <w:t>К. А. Хаджинова</w:t>
      </w:r>
    </w:p>
    <w:p>
      <w:pPr>
        <w:keepNext w:val="0"/>
        <w:tabs>
          <w:tab w:pos="6520" w:val="left"/>
        </w:tabs>
        <w:spacing w:before="0" w:after="0" w:lineRule="exact" w:line="360"/>
        <w:ind w:firstLine="0" w:left="0"/>
        <w:jc w:val="left"/>
      </w:pPr>
      <w:r>
        <w:rPr>
          <w:sz w:val="28"/>
        </w:rPr>
      </w:r>
      <w:r>
        <w:rPr>
          <w:sz w:val="28"/>
        </w:rPr>
        <w:tab/>
      </w:r>
    </w:p>
    <w:p>
      <w:pPr>
        <w:keepNext w:val="0"/>
        <w:tabs>
          <w:tab w:pos="6520" w:val="left"/>
        </w:tabs>
        <w:spacing w:before="0" w:after="0" w:lineRule="exact" w:line="360"/>
        <w:ind w:firstLine="0" w:left="0"/>
        <w:jc w:val="left"/>
      </w:pPr>
      <w:r>
        <w:rPr>
          <w:sz w:val="28"/>
        </w:rPr>
        <w:t>Проверил(а):</w:t>
      </w:r>
      <w:r>
        <w:rPr>
          <w:sz w:val="28"/>
        </w:rPr>
        <w:tab/>
        <w:t>🔲 И. О. Фамилия</w:t>
      </w:r>
    </w:p>
    <w:p>
      <w:pPr>
        <w:keepNext w:val="0"/>
        <w:spacing w:before="0" w:after="0" w:lineRule="exact" w:line="360"/>
        <w:ind w:firstLine="0"/>
      </w:pPr>
    </w:p>
    <w:p>
      <w:pPr>
        <w:keepNext w:val="0"/>
        <w:spacing w:before="0" w:after="0" w:lineRule="exact" w:line="360"/>
        <w:ind w:firstLine="0"/>
      </w:pPr>
    </w:p>
    <w:p>
      <w:pPr>
        <w:keepNext w:val="0"/>
        <w:spacing w:before="0" w:after="0" w:lineRule="exact" w:line="360"/>
        <w:ind w:firstLine="0"/>
      </w:pPr>
    </w:p>
    <w:p>
      <w:pPr>
        <w:keepNext w:val="0"/>
        <w:spacing w:before="0" w:after="0" w:lineRule="exact" w:line="360"/>
        <w:ind w:firstLine="0"/>
      </w:pPr>
    </w:p>
    <w:p>
      <w:pPr>
        <w:keepNext w:val="0"/>
        <w:spacing w:before="0" w:after="0" w:lineRule="exact" w:line="360"/>
        <w:ind w:firstLine="0"/>
      </w:pPr>
    </w:p>
    <w:p>
      <w:pPr>
        <w:keepNext w:val="0"/>
        <w:spacing w:before="0" w:after="0" w:lineRule="exact" w:line="360"/>
        <w:ind w:firstLine="0"/>
      </w:pPr>
    </w:p>
    <w:p>
      <w:pPr>
        <w:keepNext w:val="0"/>
        <w:spacing w:before="0" w:after="0" w:lineRule="exact" w:line="360"/>
        <w:ind w:firstLine="0"/>
      </w:pP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>Минск 2026</w:t>
      </w:r>
    </w:p>
    <w:p>
      <w:pPr>
        <w:keepNext w:val="0"/>
        <w:pageBreakBefore/>
        <w:spacing w:before="0" w:after="36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СОДЕРЖАНИЕ</w:t>
      </w:r>
    </w:p>
    <w:p>
      <w:pPr>
        <w:keepNext w:val="0"/>
        <w:spacing w:before="0" w:after="0" w:lineRule="exact" w:line="360"/>
        <w:ind w:firstLine="0"/>
      </w:pPr>
      <w:r>
        <w:fldChar w:fldCharType="begin"/>
        <w:instrText xml:space="preserve">TOC \o "1-2" \h \z \u</w:instrText>
        <w:fldChar w:fldCharType="separate"/>
        <w:fldChar w:fldCharType="end"/>
      </w:r>
    </w:p>
    <w:p>
      <w:pPr>
        <w:pStyle w:val="Heading1"/>
        <w:keepNext/>
        <w:pageBreakBefore/>
        <w:spacing w:before="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1 ЦЕЛЬ РАБОТЫ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Цель работы — предварительно проверить бизнес-идею NotaCode по поисковому интересу аудитории. Для этого нужно:</w:t>
      </w:r>
    </w:p>
    <w:p>
      <w:pPr>
        <w:keepNext w:val="0"/>
        <w:numPr>
          <w:ilvl w:val="0"/>
          <w:numId w:val="100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перевести профессиональную компетенцию в коммерческую бизнес-идею;</w:t>
      </w:r>
    </w:p>
    <w:p>
      <w:pPr>
        <w:keepNext w:val="0"/>
        <w:numPr>
          <w:ilvl w:val="0"/>
          <w:numId w:val="100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составить семантическое ядро;</w:t>
      </w:r>
    </w:p>
    <w:p>
      <w:pPr>
        <w:keepNext w:val="0"/>
        <w:numPr>
          <w:ilvl w:val="0"/>
          <w:numId w:val="100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собрать данные Google Trends и Яндекс Вордстат с зафиксированными настройками;</w:t>
      </w:r>
    </w:p>
    <w:p>
      <w:pPr>
        <w:keepNext w:val="0"/>
        <w:numPr>
          <w:ilvl w:val="0"/>
          <w:numId w:val="100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оценить в Excel-шаблоне уровень интереса, тренд, сезонность и циклические отклонения;</w:t>
      </w:r>
    </w:p>
    <w:p>
      <w:pPr>
        <w:keepNext w:val="0"/>
        <w:numPr>
          <w:ilvl w:val="0"/>
          <w:numId w:val="100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сравнить сигналы двух сервисов;</w:t>
      </w:r>
    </w:p>
    <w:p>
      <w:pPr>
        <w:keepNext w:val="0"/>
        <w:numPr>
          <w:ilvl w:val="0"/>
          <w:numId w:val="100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зафиксировать границы рынка (продуктовые, клиентские, географические, канальные, семантические, конкурентные);</w:t>
      </w:r>
    </w:p>
    <w:p>
      <w:pPr>
        <w:keepNext w:val="0"/>
        <w:numPr>
          <w:ilvl w:val="0"/>
          <w:numId w:val="100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обосновать выбор идеи и территории;</w:t>
      </w:r>
    </w:p>
    <w:p>
      <w:pPr>
        <w:keepNext w:val="0"/>
        <w:numPr>
          <w:ilvl w:val="0"/>
          <w:numId w:val="100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сформулировать переход к анализу рынка.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Объект анализа — NotaCode, веб-IDE (PWA) класса «diagram as code» для формальных нотаций моделирования. Пользователь описывает диаграмму на собственном DSL. Система выполняет разбор и проверку по правилам нотации, раскладку (elkjs), SVG-отрисовку с кросс-подсветкой «строка ↔ элемент», хранение версий с diff и откатом. Доступен экспорт в SVG, PNG, PlantUML, Mermaid, D2, DOT, BPMN XML, XMI, PNML, draw.io и SQL DDL.</w:t>
      </w:r>
    </w:p>
    <w:bookmarkEnd w:id="20"/>
    <w:bookmarkStart w:id="52" w:name="ход-работы"/>
    <w:p>
      <w:pPr>
        <w:pStyle w:val="Heading1"/>
        <w:keepNext/>
        <w:pageBreakBefore/>
        <w:spacing w:before="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2 ХОД РАБОТЫ</w:t>
      </w:r>
    </w:p>
    <w:bookmarkStart w:id="21" w:name="исходные-данные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2.1 Исходные данные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Используются только реальные данные замера Google Trends от 17.09.2026 [1] и данные Similarweb [5]. Замер выполнен в прежней версии работы, где продукт назывался DiagramCode; это то же решение, переименованное в NotaCode. Пометкой 🔲 ДОСНЯТЬ отмечены данные, требующие личного снятия: Яндекс Вордстат требует входа в Яндекс ID, нужны выгрузки CSV по Беларуси. Пометкой «(допущение)» отмечены экспертные предположения без измерения. Состав исходных данных приведён в таблице 1.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 – Исходные данные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557"/>
        <w:gridCol w:w="2002"/>
        <w:gridCol w:w="1463"/>
        <w:gridCol w:w="2331"/>
      </w:tblGrid>
      <w:tr>
        <w:tc>
          <w:tcPr>
            <w:tcW w:type="dxa" w:w="35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Данные</w:t>
            </w:r>
          </w:p>
        </w:tc>
        <w:tc>
          <w:tcPr>
            <w:tcW w:type="dxa" w:w="20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Источник</w:t>
            </w:r>
          </w:p>
        </w:tc>
        <w:tc>
          <w:tcPr>
            <w:tcW w:type="dxa" w:w="14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Дата</w:t>
            </w:r>
          </w:p>
        </w:tc>
        <w:tc>
          <w:tcPr>
            <w:tcW w:type="dxa" w:w="2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Статус</w:t>
            </w:r>
          </w:p>
        </w:tc>
      </w:tr>
      <w:tr>
        <w:tc>
          <w:tcPr>
            <w:tcW w:type="dxa" w:w="35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Помесячный ряд Google Trends по запросам PlantUML и text to diagram, 40 месяцев (2021-09…2024-12), весь мир, 5 лет</w:t>
            </w:r>
          </w:p>
        </w:tc>
        <w:tc>
          <w:tcPr>
            <w:tcW w:type="dxa" w:w="20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Google Trends [1], рабочая книга замера</w:t>
            </w:r>
          </w:p>
        </w:tc>
        <w:tc>
          <w:tcPr>
            <w:tcW w:type="dxa" w:w="14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17.09.2026</w:t>
            </w:r>
          </w:p>
        </w:tc>
        <w:tc>
          <w:tcPr>
            <w:tcW w:type="dxa" w:w="2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есть</w:t>
            </w:r>
          </w:p>
        </w:tc>
      </w:tr>
      <w:tr>
        <w:tc>
          <w:tcPr>
            <w:tcW w:type="dxa" w:w="35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Средние индексы за 5 лет по шести терминам (diagram as code, PlantUML, Mermaid.js, UML diagram generator, ERD tool, text to diagram)</w:t>
            </w:r>
          </w:p>
        </w:tc>
        <w:tc>
          <w:tcPr>
            <w:tcW w:type="dxa" w:w="20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Google Trends [1]</w:t>
            </w:r>
          </w:p>
        </w:tc>
        <w:tc>
          <w:tcPr>
            <w:tcW w:type="dxa" w:w="14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17.09.2026</w:t>
            </w:r>
          </w:p>
        </w:tc>
        <w:tc>
          <w:tcPr>
            <w:tcW w:type="dxa" w:w="2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есть</w:t>
            </w:r>
          </w:p>
        </w:tc>
      </w:tr>
      <w:tr>
        <w:tc>
          <w:tcPr>
            <w:tcW w:type="dxa" w:w="35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Регионы (топ-5 стран) и связанные запросы</w:t>
            </w:r>
          </w:p>
        </w:tc>
        <w:tc>
          <w:tcPr>
            <w:tcW w:type="dxa" w:w="20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Google Trends [1]</w:t>
            </w:r>
          </w:p>
        </w:tc>
        <w:tc>
          <w:tcPr>
            <w:tcW w:type="dxa" w:w="14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17.09.2026</w:t>
            </w:r>
          </w:p>
        </w:tc>
        <w:tc>
          <w:tcPr>
            <w:tcW w:type="dxa" w:w="2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есть</w:t>
            </w:r>
          </w:p>
        </w:tc>
      </w:tr>
      <w:tr>
        <w:tc>
          <w:tcPr>
            <w:tcW w:type="dxa" w:w="35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Доля трафика plantuml.com по странам</w:t>
            </w:r>
          </w:p>
        </w:tc>
        <w:tc>
          <w:tcPr>
            <w:tcW w:type="dxa" w:w="20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Similarweb [5]</w:t>
            </w:r>
          </w:p>
        </w:tc>
        <w:tc>
          <w:tcPr>
            <w:tcW w:type="dxa" w:w="14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17.09.2026</w:t>
            </w:r>
          </w:p>
        </w:tc>
        <w:tc>
          <w:tcPr>
            <w:tcW w:type="dxa" w:w="2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есть</w:t>
            </w:r>
          </w:p>
        </w:tc>
      </w:tr>
      <w:tr>
        <w:tc>
          <w:tcPr>
            <w:tcW w:type="dxa" w:w="35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Google Trends по Беларуси (5 лет и 12 месяцев), CSV</w:t>
            </w:r>
          </w:p>
        </w:tc>
        <w:tc>
          <w:tcPr>
            <w:tcW w:type="dxa" w:w="20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Google Trends [1]</w:t>
            </w:r>
          </w:p>
        </w:tc>
        <w:tc>
          <w:tcPr>
            <w:tcW w:type="dxa" w:w="14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tcPr>
            <w:tcW w:type="dxa" w:w="2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</w:tr>
      <w:tr>
        <w:tc>
          <w:tcPr>
            <w:tcW w:type="dxa" w:w="35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Частотность, динамика, регионы и топы Яндекс Вордстат (Беларусь)</w:t>
            </w:r>
          </w:p>
        </w:tc>
        <w:tc>
          <w:tcPr>
            <w:tcW w:type="dxa" w:w="20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Яндекс Вордстат [3]</w:t>
            </w:r>
          </w:p>
        </w:tc>
        <w:tc>
          <w:tcPr>
            <w:tcW w:type="dxa" w:w="14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tcPr>
            <w:tcW w:type="dxa" w:w="2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</w:tr>
      <w:tr>
        <w:tc>
          <w:tcPr>
            <w:tcW w:type="dxa" w:w="35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Концепция, сегменты, тарифы, эпики E1–E9</w:t>
            </w:r>
          </w:p>
        </w:tc>
        <w:tc>
          <w:tcPr>
            <w:tcW w:type="dxa" w:w="20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Концепция NotaCode [7]</w:t>
            </w:r>
          </w:p>
        </w:tc>
        <w:tc>
          <w:tcPr>
            <w:tcW w:type="dxa" w:w="14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23.09.2026</w:t>
            </w:r>
          </w:p>
        </w:tc>
        <w:tc>
          <w:tcPr>
            <w:tcW w:type="dxa" w:w="2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есть</w:t>
            </w:r>
          </w:p>
        </w:tc>
      </w:tr>
      <w:tr>
        <w:tc>
          <w:tcPr>
            <w:tcW w:type="dxa" w:w="35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Конкуренты и заменители</w:t>
            </w:r>
          </w:p>
        </w:tc>
        <w:tc>
          <w:tcPr>
            <w:tcW w:type="dxa" w:w="20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Анализ рынка и аналогов [8]</w:t>
            </w:r>
          </w:p>
        </w:tc>
        <w:tc>
          <w:tcPr>
            <w:tcW w:type="dxa" w:w="14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17.09.2026</w:t>
            </w:r>
          </w:p>
        </w:tc>
        <w:tc>
          <w:tcPr>
            <w:tcW w:type="dxa" w:w="2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есть</w:t>
            </w:r>
          </w:p>
        </w:tc>
      </w:tr>
      <w:tr>
        <w:tc>
          <w:tcPr>
            <w:tcW w:type="dxa" w:w="35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Excel-шаблон оценки тренда, сезонности и циклов</w:t>
            </w:r>
          </w:p>
        </w:tc>
        <w:tc>
          <w:tcPr>
            <w:tcW w:type="dxa" w:w="20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Методические материалы [6]</w:t>
            </w:r>
          </w:p>
        </w:tc>
        <w:tc>
          <w:tcPr>
            <w:tcW w:type="dxa" w:w="14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tcPr>
            <w:tcW w:type="dxa" w:w="2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заполняется VBA-макросом (приложение Г)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У NotaCode пока нет собственного поискового следа: продукт находится до MVP (спринт S10, 06.12.2026). Поэтому интерес измеряется по категории. Лучший измеримый прокси категории — PlantUML: это лидер ниши «diagram as code» и текстовый DSL для UML. Средний индекс PlantUML — 41, у остальных проверенных терминов — 2–4. По фразе «diagram as code» и нотационным запросам данные Google Trends почти нулевые, и сезонность по ним посчитать нельзя.</w:t>
      </w:r>
    </w:p>
    <w:bookmarkEnd w:id="21"/>
    <w:bookmarkStart w:id="22" w:name="компетенция-и-бизнес-идея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2.2 Компетенция и бизнес-идея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Декомпозиция идеи выполнена по цепочке «компетенция → функции → бизнес-продукт → потребность клиента → поисковый запрос» (таблица 2).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2 – Декомпозиция компетенции в поисковый запрос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16"/>
        <w:gridCol w:w="6538"/>
      </w:tblGrid>
      <w:tr>
        <w:tc>
          <w:tcPr>
            <w:tcW w:type="dxa" w:w="28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Звено</w:t>
            </w:r>
          </w:p>
        </w:tc>
        <w:tc>
          <w:tcPr>
            <w:tcW w:type="dxa" w:w="65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NotaCode</w:t>
            </w:r>
          </w:p>
        </w:tc>
      </w:tr>
      <w:tr>
        <w:tc>
          <w:tcPr>
            <w:tcW w:type="dxa" w:w="28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Компетенция</w:t>
            </w:r>
          </w:p>
        </w:tc>
        <w:tc>
          <w:tcPr>
            <w:tcW w:type="dxa" w:w="65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Разработка ПО, инструменты разработчика, формальные нотации моделирования (UML, BPMN, ERD, IDEF, DFD, сети Петри)</w:t>
            </w:r>
          </w:p>
        </w:tc>
      </w:tr>
      <w:tr>
        <w:tc>
          <w:tcPr>
            <w:tcW w:type="dxa" w:w="28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Функции</w:t>
            </w:r>
          </w:p>
        </w:tc>
        <w:tc>
          <w:tcPr>
            <w:tcW w:type="dxa" w:w="65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Проектирование DSL и парсера, валидация правил нотаций, автораскладка, SVG-рендер, версионирование, экспорт в 11 форматов</w:t>
            </w:r>
          </w:p>
        </w:tc>
      </w:tr>
      <w:tr>
        <w:tc>
          <w:tcPr>
            <w:tcW w:type="dxa" w:w="28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Бизнес-продукт</w:t>
            </w:r>
          </w:p>
        </w:tc>
        <w:tc>
          <w:tcPr>
            <w:tcW w:type="dxa" w:w="65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Подписка Pro 4 USD/мес или 40 USD/год: больше 5 проектов и 20 версий, расширенный экспорт, AI-ассистент</w:t>
            </w:r>
          </w:p>
        </w:tc>
      </w:tr>
      <w:tr>
        <w:tc>
          <w:tcPr>
            <w:tcW w:type="dxa" w:w="28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Потребность клиента</w:t>
            </w:r>
          </w:p>
        </w:tc>
        <w:tc>
          <w:tcPr>
            <w:tcW w:type="dxa" w:w="65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Быстро получить корректную по правилам нотации диаграмму, хранить её как текст, видеть ошибки нотации до сдачи или ревью</w:t>
            </w:r>
          </w:p>
        </w:tc>
      </w:tr>
      <w:tr>
        <w:tc>
          <w:tcPr>
            <w:tcW w:type="dxa" w:w="28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Поисковый запрос</w:t>
            </w:r>
          </w:p>
        </w:tc>
        <w:tc>
          <w:tcPr>
            <w:tcW w:type="dxa" w:w="65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«IDEF0 онлайн», «BPMN редактор», «ER диаграмма онлайн», «UML онлайн», «plantuml аналог», «diagram as code», «text to diagram»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Паспорт бизнес-гипотезы заполнен до сбора новых данных (таблица 3). Гипотеза о территории зафиксирована заранее, чтобы не подгонять вывод под показатели.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3 – Паспорт бизнес-гипотезы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672"/>
        <w:gridCol w:w="5683"/>
      </w:tblGrid>
      <w:tr>
        <w:tc>
          <w:tcPr>
            <w:tcW w:type="dxa" w:w="36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Поле</w:t>
            </w:r>
          </w:p>
        </w:tc>
        <w:tc>
          <w:tcPr>
            <w:tcW w:type="dxa" w:w="568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Содержание</w:t>
            </w:r>
          </w:p>
        </w:tc>
      </w:tr>
      <w:tr>
        <w:tc>
          <w:tcPr>
            <w:tcW w:type="dxa" w:w="36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Исполнитель</w:t>
            </w:r>
          </w:p>
        </w:tc>
        <w:tc>
          <w:tcPr>
            <w:tcW w:type="dxa" w:w="568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Хаджинова К.</w:t>
            </w:r>
          </w:p>
        </w:tc>
      </w:tr>
      <w:tr>
        <w:tc>
          <w:tcPr>
            <w:tcW w:type="dxa" w:w="36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Компетенция-основание</w:t>
            </w:r>
          </w:p>
        </w:tc>
        <w:tc>
          <w:tcPr>
            <w:tcW w:type="dxa" w:w="568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Разработка веб-инструментов моделирования ПО (DSL, валидация нотаций, рендер диаграмм)</w:t>
            </w:r>
          </w:p>
        </w:tc>
      </w:tr>
      <w:tr>
        <w:tc>
          <w:tcPr>
            <w:tcW w:type="dxa" w:w="36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Бизнес-идея</w:t>
            </w:r>
          </w:p>
        </w:tc>
        <w:tc>
          <w:tcPr>
            <w:tcW w:type="dxa" w:w="568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Веб-IDE NotaCode: пользователь пишет диаграмму строгой нотации как текст; система проверяет её по правилам нотации, раскладывает, отрисовывает и хранит версии</w:t>
            </w:r>
          </w:p>
        </w:tc>
      </w:tr>
      <w:tr>
        <w:tc>
          <w:tcPr>
            <w:tcW w:type="dxa" w:w="36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Описание продукта</w:t>
            </w:r>
          </w:p>
        </w:tc>
        <w:tc>
          <w:tcPr>
            <w:tcW w:type="dxa" w:w="568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PWA, собственный DSL, 9 семейств нотаций (UML 14 типов, BPMN 2.0, ERD, IDEF0, IDEF1X, IDEF3, DFD, сети Петри, свободная нотация), кросс-подсветка, версии, diff и откат, экспорт, AI-ассистент (в MVP заглушка или BYOK)</w:t>
            </w:r>
          </w:p>
        </w:tc>
      </w:tr>
      <w:tr>
        <w:tc>
          <w:tcPr>
            <w:tcW w:type="dxa" w:w="36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Целевая аудитория</w:t>
            </w:r>
          </w:p>
        </w:tc>
        <w:tc>
          <w:tcPr>
            <w:tcW w:type="dxa" w:w="568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 студенты технических специальностей (первичный, Free); S-02 бизнес- и системные аналитики (Pro); S-03 архитекторы ПО (Pro); S-04 преподаватели (канал влияния)</w:t>
            </w:r>
          </w:p>
        </w:tc>
      </w:tr>
      <w:tr>
        <w:tc>
          <w:tcPr>
            <w:tcW w:type="dxa" w:w="36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Проблема клиента</w:t>
            </w:r>
          </w:p>
        </w:tc>
        <w:tc>
          <w:tcPr>
            <w:tcW w:type="dxa" w:w="568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Строгие нотации приходится строить вручную. Графические редакторы не проверяют правила нотации. PlantUML, Mermaid и D2 не поддерживают IDEF0, IDEF1X, IDEF3, DFD и сети Петри. CASE-средства (Ramus, BPwin, Sparx EA) — платные настольные программы без текстового представления и без Git</w:t>
            </w:r>
          </w:p>
        </w:tc>
      </w:tr>
      <w:tr>
        <w:tc>
          <w:tcPr>
            <w:tcW w:type="dxa" w:w="36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Ценность для клиента</w:t>
            </w:r>
          </w:p>
        </w:tc>
        <w:tc>
          <w:tcPr>
            <w:tcW w:type="dxa" w:w="568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Меньше времени на построение и исправление диаграмм; ошибки нотации видны до сдачи работы; модель хранится как текст с историей версий</w:t>
            </w:r>
          </w:p>
        </w:tc>
      </w:tr>
      <w:tr>
        <w:tc>
          <w:tcPr>
            <w:tcW w:type="dxa" w:w="36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Гипотеза о территории</w:t>
            </w:r>
          </w:p>
        </w:tc>
        <w:tc>
          <w:tcPr>
            <w:tcW w:type="dxa" w:w="568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Республика Беларусь как ядро (вузы Минска, ИТ-компании), русскоязычный сегмент СНГ как расширение; дистанционная онлайн-модель</w:t>
            </w:r>
          </w:p>
        </w:tc>
      </w:tr>
      <w:tr>
        <w:tc>
          <w:tcPr>
            <w:tcW w:type="dxa" w:w="36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Причина выбора до анализа</w:t>
            </w:r>
          </w:p>
        </w:tc>
        <w:tc>
          <w:tcPr>
            <w:tcW w:type="dxa" w:w="568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Русскоязычный интерфейс; нотации IDEF и DFD входят в программы вузов РБ и СНГ; доступ к сегменту S-01 через вуз (допущение)</w:t>
            </w:r>
          </w:p>
        </w:tc>
      </w:tr>
      <w:tr>
        <w:tc>
          <w:tcPr>
            <w:tcW w:type="dxa" w:w="36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Ключевые запросы</w:t>
            </w:r>
          </w:p>
        </w:tc>
        <w:tc>
          <w:tcPr>
            <w:tcW w:type="dxa" w:w="568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diagram as code, PlantUML, text to diagram, IDEF0 онлайн, BPMN редактор, ER диаграмма онлайн, UML онлайн, нарисовать диаграмму онлайн</w:t>
            </w:r>
          </w:p>
        </w:tc>
      </w:tr>
      <w:tr>
        <w:tc>
          <w:tcPr>
            <w:tcW w:type="dxa" w:w="36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Ожидаемые признаки интереса</w:t>
            </w:r>
          </w:p>
        </w:tc>
        <w:tc>
          <w:tcPr>
            <w:tcW w:type="dxa" w:w="568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Устойчивый или растущий интерес к категории; учебная сезонность; запросы «онлайн», «редактор», «аналог»</w:t>
            </w:r>
          </w:p>
        </w:tc>
      </w:tr>
      <w:tr>
        <w:tc>
          <w:tcPr>
            <w:tcW w:type="dxa" w:w="36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Период анализа</w:t>
            </w:r>
          </w:p>
        </w:tc>
        <w:tc>
          <w:tcPr>
            <w:tcW w:type="dxa" w:w="568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Google Trends — 5 лет, в Excel — 40 месяцев; Вордстат — не менее 24–36 месяцев (🔲 ДОСНЯТЬ)</w:t>
            </w:r>
          </w:p>
        </w:tc>
      </w:tr>
      <w:tr>
        <w:tc>
          <w:tcPr>
            <w:tcW w:type="dxa" w:w="36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Дата подготовки вывода</w:t>
            </w:r>
          </w:p>
        </w:tc>
        <w:tc>
          <w:tcPr>
            <w:tcW w:type="dxa" w:w="568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25.09.2026</w:t>
            </w:r>
          </w:p>
        </w:tc>
      </w:tr>
    </w:tbl>
    <w:bookmarkEnd w:id="22"/>
    <w:bookmarkStart w:id="23" w:name="X14cea71b17c55c216960b63ea89049f71fa36bf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2.3 Проблема аудитории и коммерческое предложение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Клиентские задачи сформулированы словами клиента, а не терминами исполнителя (таблица 4).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4 – Клиентские задачи и коммерческое предложение по сегментам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820"/>
        <w:gridCol w:w="2511"/>
        <w:gridCol w:w="2459"/>
        <w:gridCol w:w="2564"/>
      </w:tblGrid>
      <w:tr>
        <w:tc>
          <w:tcPr>
            <w:tcW w:type="dxa" w:w="18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Сегмент</w:t>
            </w:r>
          </w:p>
        </w:tc>
        <w:tc>
          <w:tcPr>
            <w:tcW w:type="dxa" w:w="25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Клиентская задача</w:t>
            </w:r>
          </w:p>
        </w:tc>
        <w:tc>
          <w:tcPr>
            <w:tcW w:type="dxa" w:w="24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Как ищет решение</w:t>
            </w:r>
          </w:p>
        </w:tc>
        <w:tc>
          <w:tcPr>
            <w:tcW w:type="dxa" w:w="25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Предложение NotaCode</w:t>
            </w:r>
          </w:p>
        </w:tc>
      </w:tr>
      <w:tr>
        <w:tc>
          <w:tcPr>
            <w:tcW w:type="dxa" w:w="18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 Студенты</w:t>
            </w:r>
          </w:p>
        </w:tc>
        <w:tc>
          <w:tcPr>
            <w:tcW w:type="dxa" w:w="25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Нарисовать IDEF0, DFD или ER-диаграмму для лабораторной или курсовой, чтобы её не вернули</w:t>
            </w:r>
          </w:p>
        </w:tc>
        <w:tc>
          <w:tcPr>
            <w:tcW w:type="dxa" w:w="24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«IDEF0 онлайн», «нарисовать диаграмму онлайн», «ER диаграмма онлайн бесплатно»</w:t>
            </w:r>
          </w:p>
        </w:tc>
        <w:tc>
          <w:tcPr>
            <w:tcW w:type="dxa" w:w="25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Free: 5 проектов, проверка правил нотации, экспорт SVG и PNG</w:t>
            </w:r>
          </w:p>
        </w:tc>
      </w:tr>
      <w:tr>
        <w:tc>
          <w:tcPr>
            <w:tcW w:type="dxa" w:w="18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S-02 Аналитики</w:t>
            </w:r>
          </w:p>
        </w:tc>
        <w:tc>
          <w:tcPr>
            <w:tcW w:type="dxa" w:w="25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Быстро собрать BPMN-процесс и поддерживать его в актуальном виде</w:t>
            </w:r>
          </w:p>
        </w:tc>
        <w:tc>
          <w:tcPr>
            <w:tcW w:type="dxa" w:w="24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«BPMN редактор», «bpmn онлайн», «camunda modeler аналог»</w:t>
            </w:r>
          </w:p>
        </w:tc>
        <w:tc>
          <w:tcPr>
            <w:tcW w:type="dxa" w:w="25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Pro: BPMN XML, версии и diff, неограниченные проекты</w:t>
            </w:r>
          </w:p>
        </w:tc>
      </w:tr>
      <w:tr>
        <w:tc>
          <w:tcPr>
            <w:tcW w:type="dxa" w:w="18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S-03 Архитекторы</w:t>
            </w:r>
          </w:p>
        </w:tc>
        <w:tc>
          <w:tcPr>
            <w:tcW w:type="dxa" w:w="25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Держать UML и ERD рядом с кодом в Git, не рисуя вручную</w:t>
            </w:r>
          </w:p>
        </w:tc>
        <w:tc>
          <w:tcPr>
            <w:tcW w:type="dxa" w:w="24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«diagram as code», «plantuml alternative», «erd tool»</w:t>
            </w:r>
          </w:p>
        </w:tc>
        <w:tc>
          <w:tcPr>
            <w:tcW w:type="dxa" w:w="25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Pro: DSL, экспорт в PlantUML, Mermaid, D2 и SQL DDL, интеграция с GitHub</w:t>
            </w:r>
          </w:p>
        </w:tc>
      </w:tr>
      <w:tr>
        <w:tc>
          <w:tcPr>
            <w:tcW w:type="dxa" w:w="18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S-04 Преподаватели</w:t>
            </w:r>
          </w:p>
        </w:tc>
        <w:tc>
          <w:tcPr>
            <w:tcW w:type="dxa" w:w="25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Проверять работы студентов по единым правилам нотации</w:t>
            </w:r>
          </w:p>
        </w:tc>
        <w:tc>
          <w:tcPr>
            <w:tcW w:type="dxa" w:w="24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«IDEF0 правила», «ICOM IDEF0»</w:t>
            </w:r>
          </w:p>
        </w:tc>
        <w:tc>
          <w:tcPr>
            <w:tcW w:type="dxa" w:w="25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Канал: бесплатное использование на курсе и рекомендация студентам (допущение)</w:t>
            </w:r>
          </w:p>
        </w:tc>
      </w:tr>
    </w:tbl>
    <w:bookmarkEnd w:id="23"/>
    <w:bookmarkStart w:id="28" w:name="семантическое-ядро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2.4 Семантическое ядро</w:t>
      </w:r>
    </w:p>
    <w:bookmarkStart w:id="24" w:name="карта-поисковых-запросов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2.4.1 Карта поисковых запросов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Запросы распределены по группам формы методики (таблица 5). Полный реестр из 50 запросов на русском и английском языках с кластером, типом намерения, этапом воронки, сегментом и приоритетом приведён в приложении А.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5 – Карта поисковых запросов по группам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076"/>
        <w:gridCol w:w="1737"/>
        <w:gridCol w:w="3239"/>
        <w:gridCol w:w="2302"/>
      </w:tblGrid>
      <w:tr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Группа</w:t>
            </w:r>
          </w:p>
        </w:tc>
        <w:tc>
          <w:tcPr>
            <w:tcW w:type="dxa" w:w="173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Назначение</w:t>
            </w:r>
          </w:p>
        </w:tc>
        <w:tc>
          <w:tcPr>
            <w:tcW w:type="dxa" w:w="32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Выбранные запросы</w:t>
            </w:r>
          </w:p>
        </w:tc>
        <w:tc>
          <w:tcPr>
            <w:tcW w:type="dxa" w:w="23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Зачем проверяется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Общие тематические</w:t>
            </w:r>
          </w:p>
        </w:tc>
        <w:tc>
          <w:tcPr>
            <w:tcW w:type="dxa" w:w="173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Интерес к категории</w:t>
            </w:r>
          </w:p>
        </w:tc>
        <w:tc>
          <w:tcPr>
            <w:tcW w:type="dxa" w:w="32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diagram as code; диаграммы как код; редактор диаграмм</w:t>
            </w:r>
          </w:p>
        </w:tc>
        <w:tc>
          <w:tcPr>
            <w:tcW w:type="dxa" w:w="23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Ширина категории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Синонимы и разговорные</w:t>
            </w:r>
          </w:p>
        </w:tc>
        <w:tc>
          <w:tcPr>
            <w:tcW w:type="dxa" w:w="173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Язык аудитории</w:t>
            </w:r>
          </w:p>
        </w:tc>
        <w:tc>
          <w:tcPr>
            <w:tcW w:type="dxa" w:w="32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нарисовать диаграмму онлайн; сделать схему онлайн; построить диаграмму</w:t>
            </w:r>
          </w:p>
        </w:tc>
        <w:tc>
          <w:tcPr>
            <w:tcW w:type="dxa" w:w="23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Бытовые формулировки студентов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Профессиональные</w:t>
            </w:r>
          </w:p>
        </w:tc>
        <w:tc>
          <w:tcPr>
            <w:tcW w:type="dxa" w:w="173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Термины нотаций</w:t>
            </w:r>
          </w:p>
        </w:tc>
        <w:tc>
          <w:tcPr>
            <w:tcW w:type="dxa" w:w="32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IDEF0; BPMN 2.0; ER диаграмма; UML диаграмма классов; DFD; сеть Петри</w:t>
            </w:r>
          </w:p>
        </w:tc>
        <w:tc>
          <w:tcPr>
            <w:tcW w:type="dxa" w:w="23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Спрос по нотациям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Проблемные</w:t>
            </w:r>
          </w:p>
        </w:tc>
        <w:tc>
          <w:tcPr>
            <w:tcW w:type="dxa" w:w="173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Боль клиента</w:t>
            </w:r>
          </w:p>
        </w:tc>
        <w:tc>
          <w:tcPr>
            <w:tcW w:type="dxa" w:w="32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как построить IDEF0; ошибки IDEF0; как проверить BPMN; how to version control diagrams</w:t>
            </w:r>
          </w:p>
        </w:tc>
        <w:tc>
          <w:tcPr>
            <w:tcW w:type="dxa" w:w="23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Потребность в валидации и версиях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Коммерческие</w:t>
            </w:r>
          </w:p>
        </w:tc>
        <w:tc>
          <w:tcPr>
            <w:tcW w:type="dxa" w:w="173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Выбор инструмента</w:t>
            </w:r>
          </w:p>
        </w:tc>
        <w:tc>
          <w:tcPr>
            <w:tcW w:type="dxa" w:w="32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программа для IDEF0; BPMN редактор; visual paradigm цена; enterprise architect цена</w:t>
            </w:r>
          </w:p>
        </w:tc>
        <w:tc>
          <w:tcPr>
            <w:tcW w:type="dxa" w:w="23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Близость к выбору и покупке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Продуктовые</w:t>
            </w:r>
          </w:p>
        </w:tc>
        <w:tc>
          <w:tcPr>
            <w:tcW w:type="dxa" w:w="173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Конкретная функция</w:t>
            </w:r>
          </w:p>
        </w:tc>
        <w:tc>
          <w:tcPr>
            <w:tcW w:type="dxa" w:w="32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IDEF0 онлайн; ER диаграмма онлайн; uml online editor; text to diagram; ai diagram generator</w:t>
            </w:r>
          </w:p>
        </w:tc>
        <w:tc>
          <w:tcPr>
            <w:tcW w:type="dxa" w:w="23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Формулировки под функции NotaCode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Сегментные</w:t>
            </w:r>
          </w:p>
        </w:tc>
        <w:tc>
          <w:tcPr>
            <w:tcW w:type="dxa" w:w="173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Тип клиента</w:t>
            </w:r>
          </w:p>
        </w:tc>
        <w:tc>
          <w:tcPr>
            <w:tcW w:type="dxa" w:w="32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диаграмма для курсовой; BPMN для аналитика; UML для архитектора</w:t>
            </w:r>
          </w:p>
        </w:tc>
        <w:tc>
          <w:tcPr>
            <w:tcW w:type="dxa" w:w="23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Сегменты S-01…S-03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Географические</w:t>
            </w:r>
          </w:p>
        </w:tc>
        <w:tc>
          <w:tcPr>
            <w:tcW w:type="dxa" w:w="173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Территория</w:t>
            </w:r>
          </w:p>
        </w:tc>
        <w:tc>
          <w:tcPr>
            <w:tcW w:type="dxa" w:w="32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uml онлайн на русском; редактор диаграмм на русском</w:t>
            </w:r>
          </w:p>
        </w:tc>
        <w:tc>
          <w:tcPr>
            <w:tcW w:type="dxa" w:w="23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Русскоязычный сегмент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Бренды и конкуренты</w:t>
            </w:r>
          </w:p>
        </w:tc>
        <w:tc>
          <w:tcPr>
            <w:tcW w:type="dxa" w:w="173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Сложившиеся предложения</w:t>
            </w:r>
          </w:p>
        </w:tc>
        <w:tc>
          <w:tcPr>
            <w:tcW w:type="dxa" w:w="32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PlantUML; Mermaid; draw.io; Lucidchart; D2; Ramus; Camunda Modeler; dbdiagram</w:t>
            </w:r>
          </w:p>
        </w:tc>
        <w:tc>
          <w:tcPr>
            <w:tcW w:type="dxa" w:w="23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Конкуренты и заменители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Смежные</w:t>
            </w:r>
          </w:p>
        </w:tc>
        <w:tc>
          <w:tcPr>
            <w:tcW w:type="dxa" w:w="173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Соседние направления</w:t>
            </w:r>
          </w:p>
        </w:tc>
        <w:tc>
          <w:tcPr>
            <w:tcW w:type="dxa" w:w="32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нейросеть для диаграмм; C4 model; structurizr</w:t>
            </w:r>
          </w:p>
        </w:tc>
        <w:tc>
          <w:tcPr>
            <w:tcW w:type="dxa" w:w="23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AI-функция и архитектурные нотации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Исключаемые</w:t>
            </w:r>
          </w:p>
        </w:tc>
        <w:tc>
          <w:tcPr>
            <w:tcW w:type="dxa" w:w="173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коммерческий спрос</w:t>
            </w:r>
          </w:p>
        </w:tc>
        <w:tc>
          <w:tcPr>
            <w:tcW w:type="dxa" w:w="32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IDEF0 реферат; что такое UML; UML учебник pdf; BPMN вакансии</w:t>
            </w:r>
          </w:p>
        </w:tc>
        <w:tc>
          <w:tcPr>
            <w:tcW w:type="dxa" w:w="23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Очистка от учебного и кадрового интереса</w:t>
            </w:r>
          </w:p>
        </w:tc>
      </w:tr>
    </w:tbl>
    <w:bookmarkEnd w:id="24"/>
    <w:bookmarkStart w:id="25" w:name="очистка-ядра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2.4.2 Очистка ядра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Исключаемые и осторожно интерпретируемые запросы приведены в таблице 6.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6 – Исключаемые и осторожно интерпретируемые запросы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539"/>
        <w:gridCol w:w="3048"/>
        <w:gridCol w:w="2767"/>
      </w:tblGrid>
      <w:tr>
        <w:tc>
          <w:tcPr>
            <w:tcW w:type="dxa" w:w="35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Запросы</w:t>
            </w:r>
          </w:p>
        </w:tc>
        <w:tc>
          <w:tcPr>
            <w:tcW w:type="dxa" w:w="30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Причина ограничения</w:t>
            </w:r>
          </w:p>
        </w:tc>
        <w:tc>
          <w:tcPr>
            <w:tcW w:type="dxa" w:w="27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Как использовать</w:t>
            </w:r>
          </w:p>
        </w:tc>
      </w:tr>
      <w:tr>
        <w:tc>
          <w:tcPr>
            <w:tcW w:type="dxa" w:w="35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IDEF0 реферат; UML курсовая скачать; пример IDEF0 готовый</w:t>
            </w:r>
          </w:p>
        </w:tc>
        <w:tc>
          <w:tcPr>
            <w:tcW w:type="dxa" w:w="30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Ищут готовую работу, а не инструмент</w:t>
            </w:r>
          </w:p>
        </w:tc>
        <w:tc>
          <w:tcPr>
            <w:tcW w:type="dxa" w:w="27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Исключить; возможна тема контента «пример на DSL»</w:t>
            </w:r>
          </w:p>
        </w:tc>
      </w:tr>
      <w:tr>
        <w:tc>
          <w:tcPr>
            <w:tcW w:type="dxa" w:w="35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что такое UML; нотация BPMN это</w:t>
            </w:r>
          </w:p>
        </w:tc>
        <w:tc>
          <w:tcPr>
            <w:tcW w:type="dxa" w:w="30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Информационный интерес</w:t>
            </w:r>
          </w:p>
        </w:tc>
        <w:tc>
          <w:tcPr>
            <w:tcW w:type="dxa" w:w="27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Учитывать как верх воронки, не как спрос</w:t>
            </w:r>
          </w:p>
        </w:tc>
      </w:tr>
      <w:tr>
        <w:tc>
          <w:tcPr>
            <w:tcW w:type="dxa" w:w="35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UML учебник pdf; курсы BPMN; обучение бизнес-анализу</w:t>
            </w:r>
          </w:p>
        </w:tc>
        <w:tc>
          <w:tcPr>
            <w:tcW w:type="dxa" w:w="30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Обучающий рынок</w:t>
            </w:r>
          </w:p>
        </w:tc>
        <w:tc>
          <w:tcPr>
            <w:tcW w:type="dxa" w:w="27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Исключить</w:t>
            </w:r>
          </w:p>
        </w:tc>
      </w:tr>
      <w:tr>
        <w:tc>
          <w:tcPr>
            <w:tcW w:type="dxa" w:w="35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бизнес-аналитик вакансии; системный аналитик Минск зарплата</w:t>
            </w:r>
          </w:p>
        </w:tc>
        <w:tc>
          <w:tcPr>
            <w:tcW w:type="dxa" w:w="30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Кадровый интерес</w:t>
            </w:r>
          </w:p>
        </w:tc>
        <w:tc>
          <w:tcPr>
            <w:tcW w:type="dxa" w:w="27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Исключить</w:t>
            </w:r>
          </w:p>
        </w:tc>
      </w:tr>
      <w:tr>
        <w:tc>
          <w:tcPr>
            <w:tcW w:type="dxa" w:w="35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visio скачать крякнутый; enterprise architect crack</w:t>
            </w:r>
          </w:p>
        </w:tc>
        <w:tc>
          <w:tcPr>
            <w:tcW w:type="dxa" w:w="30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Пиратство, нет платёжеспособности</w:t>
            </w:r>
          </w:p>
        </w:tc>
        <w:tc>
          <w:tcPr>
            <w:tcW w:type="dxa" w:w="27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Исключить</w:t>
            </w:r>
          </w:p>
        </w:tc>
      </w:tr>
      <w:tr>
        <w:tc>
          <w:tcPr>
            <w:tcW w:type="dxa" w:w="35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«… бесплатно» (bpmn онлайн бесплатно)</w:t>
            </w:r>
          </w:p>
        </w:tc>
        <w:tc>
          <w:tcPr>
            <w:tcW w:type="dxa" w:w="30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Смешанный интерес; релевантен, так как вход через Free</w:t>
            </w:r>
          </w:p>
        </w:tc>
        <w:tc>
          <w:tcPr>
            <w:tcW w:type="dxa" w:w="27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Отдельная группа — сигнал конверсии в Free</w:t>
            </w:r>
          </w:p>
        </w:tc>
      </w:tr>
      <w:tr>
        <w:tc>
          <w:tcPr>
            <w:tcW w:type="dxa" w:w="35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mermaid без уточнения</w:t>
            </w:r>
          </w:p>
        </w:tc>
        <w:tc>
          <w:tcPr>
            <w:tcW w:type="dxa" w:w="30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Омоним</w:t>
            </w:r>
          </w:p>
        </w:tc>
        <w:tc>
          <w:tcPr>
            <w:tcW w:type="dxa" w:w="27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Только с «diagram», «js», «chart»</w:t>
            </w:r>
          </w:p>
        </w:tc>
      </w:tr>
    </w:tbl>
    <w:bookmarkEnd w:id="25"/>
    <w:bookmarkStart w:id="26" w:name="коммерческая-приоритизация-кластеров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2.4.3 Коммерческая приоритизация кластеров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Приоритет кластеров определён по ожидаемому интересу, близости к покупке и конкурентности (таблица 7).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7 – Коммерческая приоритизация кластеров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444"/>
        <w:gridCol w:w="1444"/>
        <w:gridCol w:w="2547"/>
        <w:gridCol w:w="1315"/>
        <w:gridCol w:w="2603"/>
      </w:tblGrid>
      <w:tr>
        <w:tc>
          <w:tcPr>
            <w:tcW w:type="dxa" w:w="14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Кластер</w:t>
            </w:r>
          </w:p>
        </w:tc>
        <w:tc>
          <w:tcPr>
            <w:tcW w:type="dxa" w:w="14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Близость к покупке</w:t>
            </w:r>
          </w:p>
        </w:tc>
        <w:tc>
          <w:tcPr>
            <w:tcW w:type="dxa" w:w="25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Конкурентность</w:t>
            </w:r>
          </w:p>
        </w:tc>
        <w:tc>
          <w:tcPr>
            <w:tcW w:type="dxa" w:w="1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Приоритет</w:t>
            </w:r>
          </w:p>
        </w:tc>
        <w:tc>
          <w:tcPr>
            <w:tcW w:type="dxa" w:w="260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Практический вывод</w:t>
            </w:r>
          </w:p>
        </w:tc>
      </w:tr>
      <w:tr>
        <w:tc>
          <w:tcPr>
            <w:tcW w:type="dxa" w:w="14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К2 IDEF0, IDEF3, DFD</w:t>
            </w:r>
          </w:p>
        </w:tc>
        <w:tc>
          <w:tcPr>
            <w:tcW w:type="dxa" w:w="14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Высокая</w:t>
            </w:r>
          </w:p>
        </w:tc>
        <w:tc>
          <w:tcPr>
            <w:tcW w:type="dxa" w:w="25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Низкая: diagram-as-code-аналогов нет</w:t>
            </w:r>
          </w:p>
        </w:tc>
        <w:tc>
          <w:tcPr>
            <w:tcW w:type="dxa" w:w="1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Очень высокий</w:t>
            </w:r>
          </w:p>
        </w:tc>
        <w:tc>
          <w:tcPr>
            <w:tcW w:type="dxa" w:w="260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Главная точка входа S-01, отличие от PlantUML и Mermaid</w:t>
            </w:r>
          </w:p>
        </w:tc>
      </w:tr>
      <w:tr>
        <w:tc>
          <w:tcPr>
            <w:tcW w:type="dxa" w:w="14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К3 BPMN</w:t>
            </w:r>
          </w:p>
        </w:tc>
        <w:tc>
          <w:tcPr>
            <w:tcW w:type="dxa" w:w="14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Высокая</w:t>
            </w:r>
          </w:p>
        </w:tc>
        <w:tc>
          <w:tcPr>
            <w:tcW w:type="dxa" w:w="25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Высокая (Camunda, bpmn.io, draw.io)</w:t>
            </w:r>
          </w:p>
        </w:tc>
        <w:tc>
          <w:tcPr>
            <w:tcW w:type="dxa" w:w="1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  <w:tc>
          <w:tcPr>
            <w:tcW w:type="dxa" w:w="260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Позиционирование «BPMN как код + BPMN XML» для S-02</w:t>
            </w:r>
          </w:p>
        </w:tc>
      </w:tr>
      <w:tr>
        <w:tc>
          <w:tcPr>
            <w:tcW w:type="dxa" w:w="14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К4 ERD</w:t>
            </w:r>
          </w:p>
        </w:tc>
        <w:tc>
          <w:tcPr>
            <w:tcW w:type="dxa" w:w="14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Высокая</w:t>
            </w:r>
          </w:p>
        </w:tc>
        <w:tc>
          <w:tcPr>
            <w:tcW w:type="dxa" w:w="25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Средняя (dbdiagram, draw.io)</w:t>
            </w:r>
          </w:p>
        </w:tc>
        <w:tc>
          <w:tcPr>
            <w:tcW w:type="dxa" w:w="1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  <w:tc>
          <w:tcPr>
            <w:tcW w:type="dxa" w:w="260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Экспорт SQL DDL как аргумент</w:t>
            </w:r>
          </w:p>
        </w:tc>
      </w:tr>
      <w:tr>
        <w:tc>
          <w:tcPr>
            <w:tcW w:type="dxa" w:w="14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К5 UML</w:t>
            </w:r>
          </w:p>
        </w:tc>
        <w:tc>
          <w:tcPr>
            <w:tcW w:type="dxa" w:w="14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Средняя</w:t>
            </w:r>
          </w:p>
        </w:tc>
        <w:tc>
          <w:tcPr>
            <w:tcW w:type="dxa" w:w="25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Высокая (PlantUML, Lucidchart)</w:t>
            </w:r>
          </w:p>
        </w:tc>
        <w:tc>
          <w:tcPr>
            <w:tcW w:type="dxa" w:w="1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  <w:tc>
          <w:tcPr>
            <w:tcW w:type="dxa" w:w="260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главный фронт</w:t>
            </w:r>
          </w:p>
        </w:tc>
      </w:tr>
      <w:tr>
        <w:tc>
          <w:tcPr>
            <w:tcW w:type="dxa" w:w="14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К6 Аналоги PlantUML и Mermaid</w:t>
            </w:r>
          </w:p>
        </w:tc>
        <w:tc>
          <w:tcPr>
            <w:tcW w:type="dxa" w:w="14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Высокая (стадия сравнения)</w:t>
            </w:r>
          </w:p>
        </w:tc>
        <w:tc>
          <w:tcPr>
            <w:tcW w:type="dxa" w:w="25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Высокая</w:t>
            </w:r>
          </w:p>
        </w:tc>
        <w:tc>
          <w:tcPr>
            <w:tcW w:type="dxa" w:w="1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  <w:tc>
          <w:tcPr>
            <w:tcW w:type="dxa" w:w="260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Контент «NotaCode и PlantUML», экспорт в PlantUML и Mermaid</w:t>
            </w:r>
          </w:p>
        </w:tc>
      </w:tr>
      <w:tr>
        <w:tc>
          <w:tcPr>
            <w:tcW w:type="dxa" w:w="14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К8 AI</w:t>
            </w:r>
          </w:p>
        </w:tc>
        <w:tc>
          <w:tcPr>
            <w:tcW w:type="dxa" w:w="14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Средняя</w:t>
            </w:r>
          </w:p>
        </w:tc>
        <w:tc>
          <w:tcPr>
            <w:tcW w:type="dxa" w:w="25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Растущая (Eraser.io)</w:t>
            </w:r>
          </w:p>
        </w:tc>
        <w:tc>
          <w:tcPr>
            <w:tcW w:type="dxa" w:w="1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  <w:tc>
          <w:tcPr>
            <w:tcW w:type="dxa" w:w="260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 MVP AI — заглушка; не главное обещание релиза</w:t>
            </w:r>
          </w:p>
        </w:tc>
      </w:tr>
      <w:tr>
        <w:tc>
          <w:tcPr>
            <w:tcW w:type="dxa" w:w="14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К7 Проблемные</w:t>
            </w:r>
          </w:p>
        </w:tc>
        <w:tc>
          <w:tcPr>
            <w:tcW w:type="dxa" w:w="14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Средняя</w:t>
            </w:r>
          </w:p>
        </w:tc>
        <w:tc>
          <w:tcPr>
            <w:tcW w:type="dxa" w:w="25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tcPr>
            <w:tcW w:type="dxa" w:w="1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  <w:tc>
          <w:tcPr>
            <w:tcW w:type="dxa" w:w="260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Контент «как построить IDEF0 без ошибок»</w:t>
            </w:r>
          </w:p>
        </w:tc>
      </w:tr>
      <w:tr>
        <w:tc>
          <w:tcPr>
            <w:tcW w:type="dxa" w:w="14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К1 Diagram as code</w:t>
            </w:r>
          </w:p>
        </w:tc>
        <w:tc>
          <w:tcPr>
            <w:tcW w:type="dxa" w:w="14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Низкая</w:t>
            </w:r>
          </w:p>
        </w:tc>
        <w:tc>
          <w:tcPr>
            <w:tcW w:type="dxa" w:w="25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tcPr>
            <w:tcW w:type="dxa" w:w="1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  <w:tc>
          <w:tcPr>
            <w:tcW w:type="dxa" w:w="260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Термин позиционирования, не канал привлечения</w:t>
            </w:r>
          </w:p>
        </w:tc>
      </w:tr>
    </w:tbl>
    <w:bookmarkEnd w:id="26"/>
    <w:bookmarkStart w:id="27" w:name="пакеты-для-сравнения-в-google-trends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2.4.4 Пакеты для сравнения в Google Trends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 методике в одном сравнении допускается не более пяти запросов одного уровня обобщения (таблица 8).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8 – Пакеты запросов для Google Trends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087"/>
        <w:gridCol w:w="2847"/>
        <w:gridCol w:w="2340"/>
        <w:gridCol w:w="2080"/>
      </w:tblGrid>
      <w:tr>
        <w:tc>
          <w:tcPr>
            <w:tcW w:type="dxa" w:w="208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Пакет</w:t>
            </w:r>
          </w:p>
        </w:tc>
        <w:tc>
          <w:tcPr>
            <w:tcW w:type="dxa" w:w="28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Запросы</w:t>
            </w:r>
          </w:p>
        </w:tc>
        <w:tc>
          <w:tcPr>
            <w:tcW w:type="dxa" w:w="23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Настройки</w:t>
            </w:r>
          </w:p>
        </w:tc>
        <w:tc>
          <w:tcPr>
            <w:tcW w:type="dxa" w:w="20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Цель</w:t>
            </w:r>
          </w:p>
        </w:tc>
      </w:tr>
      <w:tr>
        <w:tc>
          <w:tcPr>
            <w:tcW w:type="dxa" w:w="208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П1 Бренды-аналоги</w:t>
            </w:r>
          </w:p>
        </w:tc>
        <w:tc>
          <w:tcPr>
            <w:tcW w:type="dxa" w:w="28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PlantUML; Mermaid (тема); draw.io; Lucidchart; D2</w:t>
            </w:r>
          </w:p>
        </w:tc>
        <w:tc>
          <w:tcPr>
            <w:tcW w:type="dxa" w:w="23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Беларусь; 5 лет; все категории; веб-поиск</w:t>
            </w:r>
          </w:p>
        </w:tc>
        <w:tc>
          <w:tcPr>
            <w:tcW w:type="dxa" w:w="20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Сравнение брендов одного уровня</w:t>
            </w:r>
          </w:p>
        </w:tc>
      </w:tr>
      <w:tr>
        <w:tc>
          <w:tcPr>
            <w:tcW w:type="dxa" w:w="208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П2 Нотации (темы)</w:t>
            </w:r>
          </w:p>
        </w:tc>
        <w:tc>
          <w:tcPr>
            <w:tcW w:type="dxa" w:w="28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UML; BPMN; IDEF0; ER-модель; DFD</w:t>
            </w:r>
          </w:p>
        </w:tc>
        <w:tc>
          <w:tcPr>
            <w:tcW w:type="dxa" w:w="23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Беларусь; 5 лет; «Компьютеры и электроника»</w:t>
            </w:r>
          </w:p>
        </w:tc>
        <w:tc>
          <w:tcPr>
            <w:tcW w:type="dxa" w:w="20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Какие нотации ищут чаще</w:t>
            </w:r>
          </w:p>
        </w:tc>
      </w:tr>
      <w:tr>
        <w:tc>
          <w:tcPr>
            <w:tcW w:type="dxa" w:w="208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П3 Онлайн-инструмент</w:t>
            </w:r>
          </w:p>
        </w:tc>
        <w:tc>
          <w:tcPr>
            <w:tcW w:type="dxa" w:w="28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UML онлайн; BPMN онлайн; IDEF0 онлайн; ER диаграмма онлайн; нарисовать диаграмму онлайн</w:t>
            </w:r>
          </w:p>
        </w:tc>
        <w:tc>
          <w:tcPr>
            <w:tcW w:type="dxa" w:w="23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Беларусь; 5 лет</w:t>
            </w:r>
          </w:p>
        </w:tc>
        <w:tc>
          <w:tcPr>
            <w:tcW w:type="dxa" w:w="20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Коммерческие формулировки на русском</w:t>
            </w:r>
          </w:p>
        </w:tc>
      </w:tr>
      <w:tr>
        <w:tc>
          <w:tcPr>
            <w:tcW w:type="dxa" w:w="208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П4 AI</w:t>
            </w:r>
          </w:p>
        </w:tc>
        <w:tc>
          <w:tcPr>
            <w:tcW w:type="dxa" w:w="28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text to diagram; ai diagram generator; нейросеть диаграмма</w:t>
            </w:r>
          </w:p>
        </w:tc>
        <w:tc>
          <w:tcPr>
            <w:tcW w:type="dxa" w:w="23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Весь мир и Беларусь; 5 лет</w:t>
            </w:r>
          </w:p>
        </w:tc>
        <w:tc>
          <w:tcPr>
            <w:tcW w:type="dxa" w:w="20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Точка роста AI</w:t>
            </w:r>
          </w:p>
        </w:tc>
      </w:tr>
      <w:tr>
        <w:tc>
          <w:tcPr>
            <w:tcW w:type="dxa" w:w="208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П5 География</w:t>
            </w:r>
          </w:p>
        </w:tc>
        <w:tc>
          <w:tcPr>
            <w:tcW w:type="dxa" w:w="28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 по странам: Беларусь, Россия, Казахстан, Польша, Литва</w:t>
            </w:r>
          </w:p>
        </w:tc>
        <w:tc>
          <w:tcPr>
            <w:tcW w:type="dxa" w:w="23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 лет</w:t>
            </w:r>
          </w:p>
        </w:tc>
        <w:tc>
          <w:tcPr>
            <w:tcW w:type="dxa" w:w="20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Выбор территории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Вывод по ядру. Интерес к NotaCode выражается через кластеры IDEF0/DFD, BPMN, ERD и аналоги PlantUML/Mermaid. В ядре есть информационные, проблемные, инструментальные и сравнительные запросы. Значит, аудитория не только изучает нотации, но и ищет инструмент для их построения. Прямых транзакционных запросов (цена, подписка) в нише мало (допущение, 🔲 ДОСНЯТЬ в Вордстате). Коммерческое намерение выражается через «онлайн», «программа для», «аналог». Это соответствует freemium-модели: вход через Free, монетизация через Pro.</w:t>
      </w:r>
    </w:p>
    <w:bookmarkEnd w:id="27"/>
    <w:bookmarkEnd w:id="28"/>
    <w:bookmarkStart w:id="35" w:name="результаты-google-trends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2.5 Результаты Google Trends</w:t>
      </w:r>
    </w:p>
    <w:bookmarkStart w:id="30" w:name="протокол-анализа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2.5.1 Протокол анализа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Параметры замера и основные наблюдения приведены в таблице 9.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9 – Протокол анализа Google Trends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993"/>
        <w:gridCol w:w="6361"/>
      </w:tblGrid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Поле</w:t>
            </w:r>
          </w:p>
        </w:tc>
        <w:tc>
          <w:tcPr>
            <w:tcW w:type="dxa" w:w="63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Значение</w:t>
            </w:r>
          </w:p>
        </w:tc>
      </w:tr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Дата анализа</w:t>
            </w:r>
          </w:p>
        </w:tc>
        <w:tc>
          <w:tcPr>
            <w:tcW w:type="dxa" w:w="63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17.09.2026 (замер), обработка 25.09.2026</w:t>
            </w:r>
          </w:p>
        </w:tc>
      </w:tr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Цель</w:t>
            </w:r>
          </w:p>
        </w:tc>
        <w:tc>
          <w:tcPr>
            <w:tcW w:type="dxa" w:w="63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Решить, есть ли растущий интерес к категории «diagram as code», для запуска NotaCode и выбора стартовой географии</w:t>
            </w:r>
          </w:p>
        </w:tc>
      </w:tr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Термины</w:t>
            </w:r>
          </w:p>
        </w:tc>
        <w:tc>
          <w:tcPr>
            <w:tcW w:type="dxa" w:w="63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Замер 1: diagram as code, PlantUML, Mermaid.js. Замер 2: UML diagram generator, ERD tool, text to diagram. Замер 3: PlantUML, text to diagram</w:t>
            </w:r>
          </w:p>
        </w:tc>
      </w:tr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Регион</w:t>
            </w:r>
          </w:p>
        </w:tc>
        <w:tc>
          <w:tcPr>
            <w:tcW w:type="dxa" w:w="63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Весь мир. Отклонение от методики для РБ: замер по Беларуси не проводился (🔲 ДОСНЯТЬ)</w:t>
            </w:r>
          </w:p>
        </w:tc>
      </w:tr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Период</w:t>
            </w:r>
          </w:p>
        </w:tc>
        <w:tc>
          <w:tcPr>
            <w:tcW w:type="dxa" w:w="63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 лет; в Excel перенесены 40 месяцев 2021-09…2024-12 (первая неделя каждого месяца)</w:t>
            </w:r>
          </w:p>
        </w:tc>
      </w:tr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Категория и тип поиска</w:t>
            </w:r>
          </w:p>
        </w:tc>
        <w:tc>
          <w:tcPr>
            <w:tcW w:type="dxa" w:w="63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Все категории; веб-поиск</w:t>
            </w:r>
          </w:p>
        </w:tc>
      </w:tr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Основные наблюдения</w:t>
            </w:r>
          </w:p>
        </w:tc>
        <w:tc>
          <w:tcPr>
            <w:tcW w:type="dxa" w:w="63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Рост PlantUML; сезонный спад летом и в последнюю неделю декабря; плато нотационных генераторов; Breakout «text to diagram ai»; Беларусь — 5-е место, Россия — 4-е по PlantUML</w:t>
            </w:r>
          </w:p>
        </w:tc>
      </w:tr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Интерпретация</w:t>
            </w:r>
          </w:p>
        </w:tc>
        <w:tc>
          <w:tcPr>
            <w:tcW w:type="dxa" w:w="63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Категория растёт; спрос смещается к генерации диаграмм по тексту; в русскоязычном регионе есть опора</w:t>
            </w:r>
          </w:p>
        </w:tc>
      </w:tr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Проверочный источник</w:t>
            </w:r>
          </w:p>
        </w:tc>
        <w:tc>
          <w:tcPr>
            <w:tcW w:type="dxa" w:w="63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Similarweb: у plantuml.com Россия — 1-я страна по трафику (9,07 %) [5]</w:t>
            </w:r>
          </w:p>
        </w:tc>
      </w:tr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Практическое решение</w:t>
            </w:r>
          </w:p>
        </w:tc>
        <w:tc>
          <w:tcPr>
            <w:tcW w:type="dxa" w:w="63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Тестировать: запуск MVP с узким позиционированием</w:t>
            </w:r>
          </w:p>
        </w:tc>
      </w:tr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Ограничения</w:t>
            </w:r>
          </w:p>
        </w:tc>
        <w:tc>
          <w:tcPr>
            <w:tcW w:type="dxa" w:w="63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Относительный индекс; мир, а не РБ; для PlantUML записан только порядок стран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Сводная фиксация данных по шести терминам приведена в таблице Б.1 приложения Б. Динамика PlantUML и text to diagram показана на рисунке 1.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256032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Рисунки/fig01_gt_dinamika_ma1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0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1 – Интерес к PlantUML и text to diagram (Google Trends, весь мир, 2021-09…2024-12) и скользящее среднее за 12 месяцев</w:t>
      </w:r>
    </w:p>
    <w:bookmarkEnd w:id="30"/>
    <w:bookmarkStart w:id="31" w:name="расчётные-показатели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2.5.2 Расчётные показатели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Средний индекс за период рассчитывается по формуле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Ȳ = ΣYᵢ / n, (1)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Yᵢ – индекс Google Trends в месяце i;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n – число месяцев.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Изменение последних трёх месяцев к предыдущим трём рассчитывается по формуле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Δ₃ = (Ȳ₃ посл / Ȳ₃ пред − 1) · 100 %, (2)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Ȳ₃ посл – средний индекс за октябрь–декабрь 2024 г.;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Ȳ₃ пред – средний индекс за июль–сентябрь 2024 г.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Результаты расчёта приведены в таблице 10.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10 – Расчётные показатели Google Trends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125"/>
        <w:gridCol w:w="2326"/>
        <w:gridCol w:w="2904"/>
      </w:tblGrid>
      <w:tr>
        <w:tc>
          <w:tcPr>
            <w:tcW w:type="dxa" w:w="41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Показатель</w:t>
            </w:r>
          </w:p>
        </w:tc>
        <w:tc>
          <w:tcPr>
            <w:tcW w:type="dxa" w:w="23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PlantUML</w:t>
            </w:r>
          </w:p>
        </w:tc>
        <w:tc>
          <w:tcPr>
            <w:tcW w:type="dxa" w:w="29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text to diagram</w:t>
            </w:r>
          </w:p>
        </w:tc>
      </w:tr>
      <w:tr>
        <w:tc>
          <w:tcPr>
            <w:tcW w:type="dxa" w:w="41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 индекс за 40 месяцев, формула (1)</w:t>
            </w:r>
          </w:p>
        </w:tc>
        <w:tc>
          <w:tcPr>
            <w:tcW w:type="dxa" w:w="23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1284 / 40 = 32,10</w:t>
            </w:r>
          </w:p>
        </w:tc>
        <w:tc>
          <w:tcPr>
            <w:tcW w:type="dxa" w:w="29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328 / 40 = 8,20</w:t>
            </w:r>
          </w:p>
        </w:tc>
      </w:tr>
      <w:tr>
        <w:tc>
          <w:tcPr>
            <w:tcW w:type="dxa" w:w="41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Максимум</w:t>
            </w:r>
          </w:p>
        </w:tc>
        <w:tc>
          <w:tcPr>
            <w:tcW w:type="dxa" w:w="23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53 (2024-12)</w:t>
            </w:r>
          </w:p>
        </w:tc>
        <w:tc>
          <w:tcPr>
            <w:tcW w:type="dxa" w:w="29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15 (2022-02)</w:t>
            </w:r>
          </w:p>
        </w:tc>
      </w:tr>
      <w:tr>
        <w:tc>
          <w:tcPr>
            <w:tcW w:type="dxa" w:w="41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Минимум</w:t>
            </w:r>
          </w:p>
        </w:tc>
        <w:tc>
          <w:tcPr>
            <w:tcW w:type="dxa" w:w="23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16 (2021-09)</w:t>
            </w:r>
          </w:p>
        </w:tc>
        <w:tc>
          <w:tcPr>
            <w:tcW w:type="dxa" w:w="29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(2022-08)</w:t>
            </w:r>
          </w:p>
        </w:tc>
      </w:tr>
      <w:tr>
        <w:tc>
          <w:tcPr>
            <w:tcW w:type="dxa" w:w="41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Изменение 3 мес. к 3 мес., формула (2)</w:t>
            </w:r>
          </w:p>
        </w:tc>
        <w:tc>
          <w:tcPr>
            <w:tcW w:type="dxa" w:w="23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(51,33 / 38,67 − 1) · 100 % = +32,8 %</w:t>
            </w:r>
          </w:p>
        </w:tc>
        <w:tc>
          <w:tcPr>
            <w:tcW w:type="dxa" w:w="29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(11,00 / 6,33 − 1) · 100 % = +73,7 %</w:t>
            </w:r>
          </w:p>
        </w:tc>
      </w:tr>
      <w:tr>
        <w:tc>
          <w:tcPr>
            <w:tcW w:type="dxa" w:w="41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Доля месяцев роста</w:t>
            </w:r>
          </w:p>
        </w:tc>
        <w:tc>
          <w:tcPr>
            <w:tcW w:type="dxa" w:w="23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23 / 39 = 59,0 %</w:t>
            </w:r>
          </w:p>
        </w:tc>
        <w:tc>
          <w:tcPr>
            <w:tcW w:type="dxa" w:w="29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15 / 39 = 38,5 %</w:t>
            </w:r>
          </w:p>
        </w:tc>
      </w:tr>
      <w:tr>
        <w:tc>
          <w:tcPr>
            <w:tcW w:type="dxa" w:w="41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Уровень по шкале методики для РБ (60–100 высокий; 30–59 средний; 10–29 низкий; 0–9 недостаточный)</w:t>
            </w:r>
          </w:p>
        </w:tc>
        <w:tc>
          <w:tcPr>
            <w:tcW w:type="dxa" w:w="23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  <w:tc>
          <w:tcPr>
            <w:tcW w:type="dxa" w:w="29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недостаточный (за 5 лет — 26, низкий)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Рост PlantUML на 32,8 % по трём месяцам частично сезонный: июль–сентябрь — сезонный минимум (подраздел 2.9). Поэтому вывод о тренде строится по 12-месячным средним.</w:t>
      </w:r>
    </w:p>
    <w:bookmarkEnd w:id="31"/>
    <w:bookmarkStart w:id="33" w:name="региональный-срез-и-связанные-запросы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2.5.3 Региональный срез и связанные запросы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Топ-5 стран по интересу показаны на рисунке 2 и в таблице 11.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2036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Рисунки/fig04_regionalnyy_srez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6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2 – Региональный срез Google Trends (весь мир, 5 лет, снято 17.09.2026)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11 – Топ-5 стран по интересу</w:t>
      </w:r>
    </w:p>
    <w:tbl>
      <w:tblPr>
        <w:jc w:val="center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/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Место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PlantUML (из 71 страны с данными)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text to diagram (индекс)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Боливия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Филиппины – 100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Китай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Шри-Ланка – 25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Япония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США – 25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Россия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Кения – 22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Беларусь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Непал – 20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Интерес к категории (PlantUML) относительно сконцентрирован в Беларуси и России. AI-запрос «text to diagram» сосредоточен в англоязычных IT-аутсорсинговых хабах. Индекс региона показывает концентрацию интереса, а не объём рынка. Пятое место Беларуси не означает, что это пятый по размеру рынок.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Связанный запрос «text to diagram ai» имеет статус Breakout (рост более 5000 %). Отсюда действие: включить AI-формулировки в посадочную страницу и описание эпика E9 и вести англоязычный контент с первого релиза. У PlantUML для связанных запросов недостаточно данных; замер нужно повторить по Беларуси на 12 месяцах (🔲 ДОСНЯТЬ).</w:t>
      </w:r>
    </w:p>
    <w:bookmarkEnd w:id="33"/>
    <w:bookmarkStart w:id="34" w:name="Xd6b435fd64c2bc6561ba4446769c1801e02b12d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2.5.4 Контроль настроек и балльная оценка направлений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Результаты проверки настроек Google Trends приведены в таблице 12.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12 – Чек-лист настройки Google Trends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579"/>
        <w:gridCol w:w="1387"/>
        <w:gridCol w:w="3388"/>
      </w:tblGrid>
      <w:tr>
        <w:tc>
          <w:tcPr>
            <w:tcW w:type="dxa" w:w="45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Проверка</w:t>
            </w:r>
          </w:p>
        </w:tc>
        <w:tc>
          <w:tcPr>
            <w:tcW w:type="dxa" w:w="13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Результат</w:t>
            </w:r>
          </w:p>
        </w:tc>
        <w:tc>
          <w:tcPr>
            <w:tcW w:type="dxa" w:w="33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Комментарий</w:t>
            </w:r>
          </w:p>
        </w:tc>
      </w:tr>
      <w:tr>
        <w:tc>
          <w:tcPr>
            <w:tcW w:type="dxa" w:w="45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География — Беларусь</w:t>
            </w:r>
          </w:p>
        </w:tc>
        <w:tc>
          <w:tcPr>
            <w:tcW w:type="dxa" w:w="13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</w:t>
            </w:r>
          </w:p>
        </w:tc>
        <w:tc>
          <w:tcPr>
            <w:tcW w:type="dxa" w:w="33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Замер по миру; 🔲 ДОСНЯТЬ по Беларуси</w:t>
            </w:r>
          </w:p>
        </w:tc>
      </w:tr>
      <w:tr>
        <w:tc>
          <w:tcPr>
            <w:tcW w:type="dxa" w:w="45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Период одинаков для сравниваемых запросов</w:t>
            </w:r>
          </w:p>
        </w:tc>
        <w:tc>
          <w:tcPr>
            <w:tcW w:type="dxa" w:w="13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33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 лет во всех замерах</w:t>
            </w:r>
          </w:p>
        </w:tc>
      </w:tr>
      <w:tr>
        <w:tc>
          <w:tcPr>
            <w:tcW w:type="dxa" w:w="45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Категория выбрана или сознательно общая</w:t>
            </w:r>
          </w:p>
        </w:tc>
        <w:tc>
          <w:tcPr>
            <w:tcW w:type="dxa" w:w="13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33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Все категории: запросы технические</w:t>
            </w:r>
          </w:p>
        </w:tc>
      </w:tr>
      <w:tr>
        <w:tc>
          <w:tcPr>
            <w:tcW w:type="dxa" w:w="45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Тип поиска указан</w:t>
            </w:r>
          </w:p>
        </w:tc>
        <w:tc>
          <w:tcPr>
            <w:tcW w:type="dxa" w:w="13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33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Веб-поиск</w:t>
            </w:r>
          </w:p>
        </w:tc>
      </w:tr>
      <w:tr>
        <w:tc>
          <w:tcPr>
            <w:tcW w:type="dxa" w:w="45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Запросы разделены по смысловым группам</w:t>
            </w:r>
          </w:p>
        </w:tc>
        <w:tc>
          <w:tcPr>
            <w:tcW w:type="dxa" w:w="13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33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Бренды, инструменты, AI</w:t>
            </w:r>
          </w:p>
        </w:tc>
      </w:tr>
      <w:tr>
        <w:tc>
          <w:tcPr>
            <w:tcW w:type="dxa" w:w="45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Коммерческие, образовательные и информационные не смешаны</w:t>
            </w:r>
          </w:p>
        </w:tc>
        <w:tc>
          <w:tcPr>
            <w:tcW w:type="dxa" w:w="13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</w:t>
            </w:r>
          </w:p>
        </w:tc>
        <w:tc>
          <w:tcPr>
            <w:tcW w:type="dxa" w:w="33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Бренд и категория в замере 1</w:t>
            </w:r>
          </w:p>
        </w:tc>
      </w:tr>
      <w:tr>
        <w:tc>
          <w:tcPr>
            <w:tcW w:type="dxa" w:w="45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CSV выгружены и сохранены</w:t>
            </w:r>
          </w:p>
        </w:tc>
        <w:tc>
          <w:tcPr>
            <w:tcW w:type="dxa" w:w="13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</w:t>
            </w:r>
          </w:p>
        </w:tc>
        <w:tc>
          <w:tcPr>
            <w:tcW w:type="dxa" w:w="33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Значения переписаны с графика; 🔲 ДОСНЯТЬ CSV</w:t>
            </w:r>
          </w:p>
        </w:tc>
      </w:tr>
      <w:tr>
        <w:tc>
          <w:tcPr>
            <w:tcW w:type="dxa" w:w="45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Связанные запросы зафиксированы</w:t>
            </w:r>
          </w:p>
        </w:tc>
        <w:tc>
          <w:tcPr>
            <w:tcW w:type="dxa" w:w="13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33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text to diagram ai — Breakout</w:t>
            </w:r>
          </w:p>
        </w:tc>
      </w:tr>
      <w:tr>
        <w:tc>
          <w:tcPr>
            <w:tcW w:type="dxa" w:w="45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Вывод проверен дополнительными источниками</w:t>
            </w:r>
          </w:p>
        </w:tc>
        <w:tc>
          <w:tcPr>
            <w:tcW w:type="dxa" w:w="13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</w:t>
            </w:r>
          </w:p>
        </w:tc>
        <w:tc>
          <w:tcPr>
            <w:tcW w:type="dxa" w:w="33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Similarweb</w:t>
            </w:r>
          </w:p>
        </w:tc>
      </w:tr>
      <w:tr>
        <w:tc>
          <w:tcPr>
            <w:tcW w:type="dxa" w:w="45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Ограничения указаны</w:t>
            </w:r>
          </w:p>
        </w:tc>
        <w:tc>
          <w:tcPr>
            <w:tcW w:type="dxa" w:w="13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33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Подраздел 2.15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Балльная оценка направлений по пяти критериям (1/3/5 баллов) приведена в таблице Б.2 приложения Б. Направление «diagram as code для UML/ERD» набирает 19 баллов, AI-генерация — 15. Порог методики: 20–25 — приоритет для тестирования; 14–19 — доработать позиционирование; менее 14 — не запускать без подтверждений.</w:t>
      </w:r>
    </w:p>
    <w:bookmarkEnd w:id="34"/>
    <w:bookmarkEnd w:id="35"/>
    <w:bookmarkStart w:id="36" w:name="результаты-яндекс-вордстат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2.6 Результаты Яндекс Вордстат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🔲 ДОСНЯТЬ. Вордстат требует входа в Яндекс ID: без него сервис переадресует на страницу авторизации (проверено 23.09.2026). Подготовлены рабочий лист с настройками (таблица 13), список запросов с операторами и формы фиксации (таблицы Б.3 и Б.4 приложения Б). После досбора помесячные значения вносятся на лист «Ввод_NotaCode» Excel-книги и пересчитываются макросом (приложение Г).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13 – Рабочий лист Яндекс Вордстат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080"/>
        <w:gridCol w:w="5274"/>
      </w:tblGrid>
      <w:tr>
        <w:tc>
          <w:tcPr>
            <w:tcW w:type="dxa" w:w="40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Поле</w:t>
            </w:r>
          </w:p>
        </w:tc>
        <w:tc>
          <w:tcPr>
            <w:tcW w:type="dxa" w:w="52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Значение</w:t>
            </w:r>
          </w:p>
        </w:tc>
      </w:tr>
      <w:tr>
        <w:tc>
          <w:tcPr>
            <w:tcW w:type="dxa" w:w="40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Дата анализа</w:t>
            </w:r>
          </w:p>
        </w:tc>
        <w:tc>
          <w:tcPr>
            <w:tcW w:type="dxa" w:w="52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</w:tr>
      <w:tr>
        <w:tc>
          <w:tcPr>
            <w:tcW w:type="dxa" w:w="40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Бизнес-гипотеза</w:t>
            </w:r>
          </w:p>
        </w:tc>
        <w:tc>
          <w:tcPr>
            <w:tcW w:type="dxa" w:w="52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Спрос на онлайн-инструмент построения диаграмм строгих нотаций в Беларуси</w:t>
            </w:r>
          </w:p>
        </w:tc>
      </w:tr>
      <w:tr>
        <w:tc>
          <w:tcPr>
            <w:tcW w:type="dxa" w:w="40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Целевая аудитория</w:t>
            </w:r>
          </w:p>
        </w:tc>
        <w:tc>
          <w:tcPr>
            <w:tcW w:type="dxa" w:w="52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S-01…S-03</w:t>
            </w:r>
          </w:p>
        </w:tc>
      </w:tr>
      <w:tr>
        <w:tc>
          <w:tcPr>
            <w:tcW w:type="dxa" w:w="40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Регион</w:t>
            </w:r>
          </w:p>
        </w:tc>
        <w:tc>
          <w:tcPr>
            <w:tcW w:type="dxa" w:w="52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Беларусь, затем Минск, Гомель, Брест, Витебск, Гродно, Могилёв</w:t>
            </w:r>
          </w:p>
        </w:tc>
      </w:tr>
      <w:tr>
        <w:tc>
          <w:tcPr>
            <w:tcW w:type="dxa" w:w="40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Период</w:t>
            </w:r>
          </w:p>
        </w:tc>
        <w:tc>
          <w:tcPr>
            <w:tcW w:type="dxa" w:w="52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Помесячно, максимально доступный (не менее 36 месяцев)</w:t>
            </w:r>
          </w:p>
        </w:tc>
      </w:tr>
      <w:tr>
        <w:tc>
          <w:tcPr>
            <w:tcW w:type="dxa" w:w="40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Устройства</w:t>
            </w:r>
          </w:p>
        </w:tc>
        <w:tc>
          <w:tcPr>
            <w:tcW w:type="dxa" w:w="52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Все, затем отдельно десктопы и смартфоны</w:t>
            </w:r>
          </w:p>
        </w:tc>
      </w:tr>
      <w:tr>
        <w:tc>
          <w:tcPr>
            <w:tcW w:type="dxa" w:w="40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Базовые запросы</w:t>
            </w:r>
          </w:p>
        </w:tc>
        <w:tc>
          <w:tcPr>
            <w:tcW w:type="dxa" w:w="52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idef0; bpmn; er диаграмма; uml; plantuml; диаграмма онлайн; редактор диаграмм; dfd диаграмма; draw io; нарисовать схему</w:t>
            </w:r>
          </w:p>
        </w:tc>
      </w:tr>
      <w:tr>
        <w:tc>
          <w:tcPr>
            <w:tcW w:type="dxa" w:w="40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Операторы</w:t>
            </w:r>
          </w:p>
        </w:tc>
        <w:tc>
          <w:tcPr>
            <w:tcW w:type="dxa" w:w="52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(idef0|idef 0|айдеф) -реферат -скачать -пример; bpmn -вакансия -курсы -обучение;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“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uml онлайн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”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; !программа для !idef0; (er|erd) диаграмма -реферат</w:t>
            </w:r>
          </w:p>
        </w:tc>
      </w:tr>
      <w:tr>
        <w:tc>
          <w:tcPr>
            <w:tcW w:type="dxa" w:w="40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Главные коммерческие и информационные запросы</w:t>
            </w:r>
          </w:p>
        </w:tc>
        <w:tc>
          <w:tcPr>
            <w:tcW w:type="dxa" w:w="52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</w:tr>
      <w:tr>
        <w:tc>
          <w:tcPr>
            <w:tcW w:type="dxa" w:w="40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Выявленная сезонность</w:t>
            </w:r>
          </w:p>
        </w:tc>
        <w:tc>
          <w:tcPr>
            <w:tcW w:type="dxa" w:w="52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 (гипотеза: пики в марте–апреле и ноябре, спад в июле–августе, как в Google Trends)</w:t>
            </w:r>
          </w:p>
        </w:tc>
      </w:tr>
      <w:tr>
        <w:tc>
          <w:tcPr>
            <w:tcW w:type="dxa" w:w="40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Территории с индексом выше 100 %</w:t>
            </w:r>
          </w:p>
        </w:tc>
        <w:tc>
          <w:tcPr>
            <w:tcW w:type="dxa" w:w="52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 (гипотеза: Минск)</w:t>
            </w:r>
          </w:p>
        </w:tc>
      </w:tr>
      <w:tr>
        <w:tc>
          <w:tcPr>
            <w:tcW w:type="dxa" w:w="40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Ограничения</w:t>
            </w:r>
          </w:p>
        </w:tc>
        <w:tc>
          <w:tcPr>
            <w:tcW w:type="dxa" w:w="52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Только аудитория Яндекса; в Беларуси заметная доля поиска приходится на Google (🔲 ДОСНЯТЬ долю)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Шаблон вывода (заполнить после досбора): «По данным Яндекс Вордстат, в Беларуси наблюдается [🔲] поисковый интерес к онлайн-инструментам построения диаграмм. Наиболее выражены запросы группы [🔲], что указывает на [инструментальный / учебный] характер интереса. Динамика за [🔲] показывает [🔲]. Повышенный интерес (индекс выше 100 %) выявлен в [🔲]. Для NotaCode это означает целесообразность [🔲]».</w:t>
      </w:r>
    </w:p>
    <w:bookmarkEnd w:id="36"/>
    <w:bookmarkStart w:id="37" w:name="выгруженные-данные-и-журнал-выгрузки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2.7 Выгруженные данные и журнал выгрузки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Журнал выгрузки приведён в таблице Б.5 приложения Б и продублирован на листе «Журнал_выгрузки» Excel-шаблона: его заполняет макрос, строки Вордстата помечены «[ДОСНЯТЬ]». Файлы выгрузки именуются по схеме методики [6]: GT_дата_территория_период_запрос_карточка.csv и YW_дата_территория_запрос_вкладка.xlsx. Доказательная база раскладывается по папкам: 01_Исходные_данные, 02_Рабочие_таблицы, 03_Диаграммы, 04_Итоговый_вывод, 05_Журнал_выгрузки (🔲 ДОСНЯТЬ).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Первичная обработка ряда выполнена так:</w:t>
      </w:r>
    </w:p>
    <w:p>
      <w:pPr>
        <w:keepNext w:val="0"/>
        <w:numPr>
          <w:ilvl w:val="0"/>
          <w:numId w:val="100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незавершённый месяц исключён: ряд заканчивается 2024-12, провал августа 2026 г. в расчёт не попал;</w:t>
      </w:r>
    </w:p>
    <w:p>
      <w:pPr>
        <w:keepNext w:val="0"/>
        <w:numPr>
          <w:ilvl w:val="0"/>
          <w:numId w:val="100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периодичность месячная: взята первая неделя месяца;</w:t>
      </w:r>
    </w:p>
    <w:p>
      <w:pPr>
        <w:keepNext w:val="0"/>
        <w:numPr>
          <w:ilvl w:val="0"/>
          <w:numId w:val="100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Вордстат нормируется в шаблоне по формуле</w:t>
      </w:r>
    </w:p>
    <w:p>
      <w:pPr>
        <w:pStyle w:val="FirstParagraph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F = E / max(E) · 100, (3)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E – число запросов Вордстата в месяце;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max(E) – максимум ряда.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Сводный индекс шаблона рассчитывается по формуле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G = D · w_GT + F · w_YW, (4)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D – индекс Google Trends;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w_GT, w_YW – веса источников (по умолчанию 0,5 и 0,5).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Если один из источников пуст, берётся имеющийся. Сейчас Вордстат не внесён, поэтому G = D.</w:t>
      </w:r>
    </w:p>
    <w:bookmarkEnd w:id="37"/>
    <w:bookmarkStart w:id="39" w:name="оценка-тренда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2.8 Оценка тренда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Расчёт выполнен на листах «Расчет» и «Оценка_тренда» Excel-шаблона. Шаблон заполнен VBA-макросом. Результат проверен пересчётом книги в Microsoft Excel и совпал с расчётом Python-скрипта (приложение Г).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Относительное изменение среднего уровня рассчитывается по формуле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ΔT = (Ȳ₁₂ посл − Ȳ₁₂ перв) / Ȳ₁₂ перв, (5)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Ȳ₁₂ перв – средний сводный индекс за первые 12 месяцев ряда;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Ȳ₁₂ посл – средний сводный индекс за последние 12 месяцев.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Классификация: ΔT ≥ +15 % — растущий тренд, ΔT ≤ −15 % — снижающийся, иначе — стабильный. Показатели тренда приведены в таблице 14.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14 – Показатели тренда (лист «Оценка_тренда»)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204"/>
        <w:gridCol w:w="3612"/>
        <w:gridCol w:w="2538"/>
      </w:tblGrid>
      <w:tr>
        <w:tc>
          <w:tcPr>
            <w:tcW w:type="dxa" w:w="32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Показатель</w:t>
            </w:r>
          </w:p>
        </w:tc>
        <w:tc>
          <w:tcPr>
            <w:tcW w:type="dxa" w:w="36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Подстановка</w:t>
            </w:r>
          </w:p>
        </w:tc>
        <w:tc>
          <w:tcPr>
            <w:tcW w:type="dxa" w:w="25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Значение</w:t>
            </w:r>
          </w:p>
        </w:tc>
      </w:tr>
      <w:tr>
        <w:tc>
          <w:tcPr>
            <w:tcW w:type="dxa" w:w="32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Количество наблюдений</w:t>
            </w:r>
          </w:p>
        </w:tc>
        <w:tc>
          <w:tcPr>
            <w:tcW w:type="dxa" w:w="36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tcPr>
            <w:tcW w:type="dxa" w:w="25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40 (требуется не менее 24)</w:t>
            </w:r>
          </w:p>
        </w:tc>
      </w:tr>
      <w:tr>
        <w:tc>
          <w:tcPr>
            <w:tcW w:type="dxa" w:w="32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 индекс за первые 12 месяцев</w:t>
            </w:r>
          </w:p>
        </w:tc>
        <w:tc>
          <w:tcPr>
            <w:tcW w:type="dxa" w:w="36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(16 + 20 + 21 + 20 + 22 + 28 + 25 + 25 + 27 + 22 + 26 + 22) / 12 = 274 / 12</w:t>
            </w:r>
          </w:p>
        </w:tc>
        <w:tc>
          <w:tcPr>
            <w:tcW w:type="dxa" w:w="25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22,83</w:t>
            </w:r>
          </w:p>
        </w:tc>
      </w:tr>
      <w:tr>
        <w:tc>
          <w:tcPr>
            <w:tcW w:type="dxa" w:w="32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 индекс за последние 12 месяцев</w:t>
            </w:r>
          </w:p>
        </w:tc>
        <w:tc>
          <w:tcPr>
            <w:tcW w:type="dxa" w:w="36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(37 + 35 + 46 + 48 + 47 + 49 + 40 + 37 + 39 + 50 + 51 + 53) / 12 = 532 / 12</w:t>
            </w:r>
          </w:p>
        </w:tc>
        <w:tc>
          <w:tcPr>
            <w:tcW w:type="dxa" w:w="25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44,33</w:t>
            </w:r>
          </w:p>
        </w:tc>
      </w:tr>
      <w:tr>
        <w:tc>
          <w:tcPr>
            <w:tcW w:type="dxa" w:w="32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Абсолютное изменение</w:t>
            </w:r>
          </w:p>
        </w:tc>
        <w:tc>
          <w:tcPr>
            <w:tcW w:type="dxa" w:w="36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44,33 − 22,83</w:t>
            </w:r>
          </w:p>
        </w:tc>
        <w:tc>
          <w:tcPr>
            <w:tcW w:type="dxa" w:w="25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+21,50 п.</w:t>
            </w:r>
          </w:p>
        </w:tc>
      </w:tr>
      <w:tr>
        <w:tc>
          <w:tcPr>
            <w:tcW w:type="dxa" w:w="32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Относительное изменение, формула (5)</w:t>
            </w:r>
          </w:p>
        </w:tc>
        <w:tc>
          <w:tcPr>
            <w:tcW w:type="dxa" w:w="36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21,50 / 22,83</w:t>
            </w:r>
          </w:p>
        </w:tc>
        <w:tc>
          <w:tcPr>
            <w:tcW w:type="dxa" w:w="25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+94,2 %</w:t>
            </w:r>
          </w:p>
        </w:tc>
      </w:tr>
      <w:tr>
        <w:tc>
          <w:tcPr>
            <w:tcW w:type="dxa" w:w="32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Наклон линейного тренда (SLOPE)</w:t>
            </w:r>
          </w:p>
        </w:tc>
        <w:tc>
          <w:tcPr>
            <w:tcW w:type="dxa" w:w="36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МНК по 40 точкам</w:t>
            </w:r>
          </w:p>
        </w:tc>
        <w:tc>
          <w:tcPr>
            <w:tcW w:type="dxa" w:w="25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+0,758 п./мес. (около +9,1 п./год)</w:t>
            </w:r>
          </w:p>
        </w:tc>
      </w:tr>
      <w:tr>
        <w:tc>
          <w:tcPr>
            <w:tcW w:type="dxa" w:w="32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Классификация</w:t>
            </w:r>
          </w:p>
        </w:tc>
        <w:tc>
          <w:tcPr>
            <w:tcW w:type="dxa" w:w="36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94,2 % ≥ 15 %</w:t>
            </w:r>
          </w:p>
        </w:tc>
        <w:tc>
          <w:tcPr>
            <w:tcW w:type="dxa" w:w="25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растущий тренд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Средние по годам показаны на рисунке 3 и в таблице 15.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2667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Рисунки/fig05_srednie_po_goda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3 – Средний индекс интереса по годам (для 2021 г. — сентябрь–декабрь)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15 – Оценка устойчивой динамики по кластерам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84"/>
        <w:gridCol w:w="1165"/>
        <w:gridCol w:w="1165"/>
        <w:gridCol w:w="1491"/>
        <w:gridCol w:w="3349"/>
      </w:tblGrid>
      <w:tr>
        <w:tc>
          <w:tcPr>
            <w:tcW w:type="dxa" w:w="21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Кластер</w:t>
            </w:r>
          </w:p>
        </w:tc>
        <w:tc>
          <w:tcPr>
            <w:tcW w:type="dxa" w:w="11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Среднее 2023 г.</w:t>
            </w:r>
          </w:p>
        </w:tc>
        <w:tc>
          <w:tcPr>
            <w:tcW w:type="dxa" w:w="11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Среднее 2024 г.</w:t>
            </w:r>
          </w:p>
        </w:tc>
        <w:tc>
          <w:tcPr>
            <w:tcW w:type="dxa" w:w="14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Изменение, %</w:t>
            </w:r>
          </w:p>
        </w:tc>
        <w:tc>
          <w:tcPr>
            <w:tcW w:type="dxa" w:w="33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Тип динамики</w:t>
            </w:r>
          </w:p>
        </w:tc>
      </w:tr>
      <w:tr>
        <w:tc>
          <w:tcPr>
            <w:tcW w:type="dxa" w:w="21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Diagram as code (прокси — PlantUML)</w:t>
            </w:r>
          </w:p>
        </w:tc>
        <w:tc>
          <w:tcPr>
            <w:tcW w:type="dxa" w:w="11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31,25</w:t>
            </w:r>
          </w:p>
        </w:tc>
        <w:tc>
          <w:tcPr>
            <w:tcW w:type="dxa" w:w="11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44,33</w:t>
            </w:r>
          </w:p>
        </w:tc>
        <w:tc>
          <w:tcPr>
            <w:tcW w:type="dxa" w:w="14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+41,9</w:t>
            </w:r>
          </w:p>
        </w:tc>
        <w:tc>
          <w:tcPr>
            <w:tcW w:type="dxa" w:w="33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Устойчивый рост (2022 → 2023: +25,0 %)</w:t>
            </w:r>
          </w:p>
        </w:tc>
      </w:tr>
      <w:tr>
        <w:tc>
          <w:tcPr>
            <w:tcW w:type="dxa" w:w="21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AI-генерация (text to diagram)</w:t>
            </w:r>
          </w:p>
        </w:tc>
        <w:tc>
          <w:tcPr>
            <w:tcW w:type="dxa" w:w="11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7,42</w:t>
            </w:r>
          </w:p>
        </w:tc>
        <w:tc>
          <w:tcPr>
            <w:tcW w:type="dxa" w:w="11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8,67</w:t>
            </w:r>
          </w:p>
        </w:tc>
        <w:tc>
          <w:tcPr>
            <w:tcW w:type="dxa" w:w="14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+16,9</w:t>
            </w:r>
          </w:p>
        </w:tc>
        <w:tc>
          <w:tcPr>
            <w:tcW w:type="dxa" w:w="33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Стабильный в 2021–2024 гг. (−1,0 % по формуле (5)); сдвиг вверх с середины 2025 г. (по графику замера)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Рост PlantUML не объясняется одним событием: он виден в каждом году (19,25 → 25,0 → 31,25 → 44,33). Скользящее среднее за 12 месяцев монотонно растёт с 22,8 (2022-08) до 44,3 (2024-12).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Вывод о тренде. Данные Google Trends показывают признаки устойчивого роста поискового интереса к категории «diagram as code». Средний уровень последних 12 месяцев на 94,2 % выше уровня первых 12, скользящее среднее растёт на всём периоде. Это позволяет считать направление NotaCode перспективным для дальнейшего анализа рынка и проверки платёжеспособного спроса. Рост пока подтверждён только по брендовому прокси категории; по русскоязычным коммерческим запросам (IDEF0 онлайн, BPMN редактор) он не проверен (🔲 ДОСНЯТЬ).</w:t>
      </w:r>
    </w:p>
    <w:bookmarkEnd w:id="39"/>
    <w:bookmarkStart w:id="41" w:name="оценка-сезонности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2.9 Оценка сезонности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Тренд в шаблоне — скользящее среднее за 12 предыдущих месяцев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Tₙ = (Gₙ₋₁₁ + … + Gₙ) / 12. (6)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Сезонный индекс месяца рассчитывается по формуле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Sₘ = avg(Y/T)ₘ / avg(avg(Y/T)₁…avg(Y/T)₁₂), (7)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avg(Y/T)ₘ – среднее отношение факта к тренду для календарного месяца m по всем годам.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Пример для марта: 2023-03 — 31 / 26,17 = 1,185; 2024-03 — 46 / 33,67 = 1,366. Среднее — 1,276; среднее двенадцати месячных значений — 1,138. Индекс марта равен S₃ = 1,276 / 1,138 = 1,121.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Амплитуда сезонности рассчитывается по формуле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A = max(Sₘ) − min(Sₘ), (8)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Сила сезонности: A ≥ 0,30 — выраженная, A ≥ 0,15 — умеренная, иначе — слабая. Сезонные индексы приведены на рисунке 4 и в таблице 16.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2036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Рисунки/fig02_sezonnye_indeks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6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4 – Сезонные индексы по месяцам (метод Excel-шаблона), пороги 0,9 и 1,1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16 – Сезонные индексы и решения для бизнеса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225"/>
        <w:gridCol w:w="1294"/>
        <w:gridCol w:w="2146"/>
        <w:gridCol w:w="1537"/>
        <w:gridCol w:w="3151"/>
      </w:tblGrid>
      <w:tr>
        <w:tc>
          <w:tcPr>
            <w:tcW w:type="dxa" w:w="12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Месяц</w:t>
            </w:r>
          </w:p>
        </w:tc>
        <w:tc>
          <w:tcPr>
            <w:tcW w:type="dxa" w:w="12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Индекс PlantUML</w:t>
            </w:r>
          </w:p>
        </w:tc>
        <w:tc>
          <w:tcPr>
            <w:tcW w:type="dxa" w:w="21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Оценка месяца</w:t>
            </w:r>
          </w:p>
        </w:tc>
        <w:tc>
          <w:tcPr>
            <w:tcW w:type="dxa" w:w="15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Индекс text to diagram</w:t>
            </w:r>
          </w:p>
        </w:tc>
        <w:tc>
          <w:tcPr>
            <w:tcW w:type="dxa" w:w="315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Решение для NotaCode</w:t>
            </w:r>
          </w:p>
        </w:tc>
      </w:tr>
      <w:tr>
        <w:tc>
          <w:tcPr>
            <w:tcW w:type="dxa" w:w="12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Январь</w:t>
            </w:r>
          </w:p>
        </w:tc>
        <w:tc>
          <w:tcPr>
            <w:tcW w:type="dxa" w:w="12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0,939</w:t>
            </w:r>
          </w:p>
        </w:tc>
        <w:tc>
          <w:tcPr>
            <w:tcW w:type="dxa" w:w="21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  <w:tc>
          <w:tcPr>
            <w:tcW w:type="dxa" w:w="15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0,895</w:t>
            </w:r>
          </w:p>
        </w:tc>
        <w:tc>
          <w:tcPr>
            <w:tcW w:type="dxa" w:w="315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Подготовка контента к весеннему семестру</w:t>
            </w:r>
          </w:p>
        </w:tc>
      </w:tr>
      <w:tr>
        <w:tc>
          <w:tcPr>
            <w:tcW w:type="dxa" w:w="12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Февраль</w:t>
            </w:r>
          </w:p>
        </w:tc>
        <w:tc>
          <w:tcPr>
            <w:tcW w:type="dxa" w:w="12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1,039</w:t>
            </w:r>
          </w:p>
        </w:tc>
        <w:tc>
          <w:tcPr>
            <w:tcW w:type="dxa" w:w="21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  <w:tc>
          <w:tcPr>
            <w:tcW w:type="dxa" w:w="15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1,121</w:t>
            </w:r>
          </w:p>
        </w:tc>
        <w:tc>
          <w:tcPr>
            <w:tcW w:type="dxa" w:w="315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Старт весенней кампании (за месяц до пика)</w:t>
            </w:r>
          </w:p>
        </w:tc>
      </w:tr>
      <w:tr>
        <w:tc>
          <w:tcPr>
            <w:tcW w:type="dxa" w:w="12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Март</w:t>
            </w:r>
          </w:p>
        </w:tc>
        <w:tc>
          <w:tcPr>
            <w:tcW w:type="dxa" w:w="12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1,121</w:t>
            </w:r>
          </w:p>
        </w:tc>
        <w:tc>
          <w:tcPr>
            <w:tcW w:type="dxa" w:w="21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сезонный максимум</w:t>
            </w:r>
          </w:p>
        </w:tc>
        <w:tc>
          <w:tcPr>
            <w:tcW w:type="dxa" w:w="15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1,070</w:t>
            </w:r>
          </w:p>
        </w:tc>
        <w:tc>
          <w:tcPr>
            <w:tcW w:type="dxa" w:w="315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Пик: максимум рекламы и контента</w:t>
            </w:r>
          </w:p>
        </w:tc>
      </w:tr>
      <w:tr>
        <w:tc>
          <w:tcPr>
            <w:tcW w:type="dxa" w:w="12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Апрель</w:t>
            </w:r>
          </w:p>
        </w:tc>
        <w:tc>
          <w:tcPr>
            <w:tcW w:type="dxa" w:w="12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1,095</w:t>
            </w:r>
          </w:p>
        </w:tc>
        <w:tc>
          <w:tcPr>
            <w:tcW w:type="dxa" w:w="21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повышенный</w:t>
            </w:r>
          </w:p>
        </w:tc>
        <w:tc>
          <w:tcPr>
            <w:tcW w:type="dxa" w:w="15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1,323</w:t>
            </w:r>
          </w:p>
        </w:tc>
        <w:tc>
          <w:tcPr>
            <w:tcW w:type="dxa" w:w="315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Пик AI-запросов, курсовые</w:t>
            </w:r>
          </w:p>
        </w:tc>
      </w:tr>
      <w:tr>
        <w:tc>
          <w:tcPr>
            <w:tcW w:type="dxa" w:w="12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Май</w:t>
            </w:r>
          </w:p>
        </w:tc>
        <w:tc>
          <w:tcPr>
            <w:tcW w:type="dxa" w:w="12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1,072</w:t>
            </w:r>
          </w:p>
        </w:tc>
        <w:tc>
          <w:tcPr>
            <w:tcW w:type="dxa" w:w="21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повышенный</w:t>
            </w:r>
          </w:p>
        </w:tc>
        <w:tc>
          <w:tcPr>
            <w:tcW w:type="dxa" w:w="15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1,184</w:t>
            </w:r>
          </w:p>
        </w:tc>
        <w:tc>
          <w:tcPr>
            <w:tcW w:type="dxa" w:w="315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Сдача курсовых, поддержка пользователей</w:t>
            </w:r>
          </w:p>
        </w:tc>
      </w:tr>
      <w:tr>
        <w:tc>
          <w:tcPr>
            <w:tcW w:type="dxa" w:w="12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Июнь</w:t>
            </w:r>
          </w:p>
        </w:tc>
        <w:tc>
          <w:tcPr>
            <w:tcW w:type="dxa" w:w="12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1,043</w:t>
            </w:r>
          </w:p>
        </w:tc>
        <w:tc>
          <w:tcPr>
            <w:tcW w:type="dxa" w:w="21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  <w:tc>
          <w:tcPr>
            <w:tcW w:type="dxa" w:w="15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0,876</w:t>
            </w:r>
          </w:p>
        </w:tc>
        <w:tc>
          <w:tcPr>
            <w:tcW w:type="dxa" w:w="315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Снижение бюджета</w:t>
            </w:r>
          </w:p>
        </w:tc>
      </w:tr>
      <w:tr>
        <w:tc>
          <w:tcPr>
            <w:tcW w:type="dxa" w:w="12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Июль</w:t>
            </w:r>
          </w:p>
        </w:tc>
        <w:tc>
          <w:tcPr>
            <w:tcW w:type="dxa" w:w="12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0,969</w:t>
            </w:r>
          </w:p>
        </w:tc>
        <w:tc>
          <w:tcPr>
            <w:tcW w:type="dxa" w:w="21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  <w:tc>
          <w:tcPr>
            <w:tcW w:type="dxa" w:w="15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0,666</w:t>
            </w:r>
          </w:p>
        </w:tc>
        <w:tc>
          <w:tcPr>
            <w:tcW w:type="dxa" w:w="315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Низкий сезон: разработка, релизы</w:t>
            </w:r>
          </w:p>
        </w:tc>
      </w:tr>
      <w:tr>
        <w:tc>
          <w:tcPr>
            <w:tcW w:type="dxa" w:w="12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Август</w:t>
            </w:r>
          </w:p>
        </w:tc>
        <w:tc>
          <w:tcPr>
            <w:tcW w:type="dxa" w:w="12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0,823</w:t>
            </w:r>
          </w:p>
        </w:tc>
        <w:tc>
          <w:tcPr>
            <w:tcW w:type="dxa" w:w="21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сезонный минимум</w:t>
            </w:r>
          </w:p>
        </w:tc>
        <w:tc>
          <w:tcPr>
            <w:tcW w:type="dxa" w:w="15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0,591</w:t>
            </w:r>
          </w:p>
        </w:tc>
        <w:tc>
          <w:tcPr>
            <w:tcW w:type="dxa" w:w="315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тратить рекламный бюджет, готовить осеннюю кампанию</w:t>
            </w:r>
          </w:p>
        </w:tc>
      </w:tr>
      <w:tr>
        <w:tc>
          <w:tcPr>
            <w:tcW w:type="dxa" w:w="12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Сентябрь</w:t>
            </w:r>
          </w:p>
        </w:tc>
        <w:tc>
          <w:tcPr>
            <w:tcW w:type="dxa" w:w="12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0,885</w:t>
            </w:r>
          </w:p>
        </w:tc>
        <w:tc>
          <w:tcPr>
            <w:tcW w:type="dxa" w:w="21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сезонный минимум</w:t>
            </w:r>
          </w:p>
        </w:tc>
        <w:tc>
          <w:tcPr>
            <w:tcW w:type="dxa" w:w="15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1,041</w:t>
            </w:r>
          </w:p>
        </w:tc>
        <w:tc>
          <w:tcPr>
            <w:tcW w:type="dxa" w:w="315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Старт осенней кампании</w:t>
            </w:r>
          </w:p>
        </w:tc>
      </w:tr>
      <w:tr>
        <w:tc>
          <w:tcPr>
            <w:tcW w:type="dxa" w:w="12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Октябрь</w:t>
            </w:r>
          </w:p>
        </w:tc>
        <w:tc>
          <w:tcPr>
            <w:tcW w:type="dxa" w:w="12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0,992</w:t>
            </w:r>
          </w:p>
        </w:tc>
        <w:tc>
          <w:tcPr>
            <w:tcW w:type="dxa" w:w="21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  <w:tc>
          <w:tcPr>
            <w:tcW w:type="dxa" w:w="15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1,036</w:t>
            </w:r>
          </w:p>
        </w:tc>
        <w:tc>
          <w:tcPr>
            <w:tcW w:type="dxa" w:w="315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Рост</w:t>
            </w:r>
          </w:p>
        </w:tc>
      </w:tr>
      <w:tr>
        <w:tc>
          <w:tcPr>
            <w:tcW w:type="dxa" w:w="12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Ноябрь</w:t>
            </w:r>
          </w:p>
        </w:tc>
        <w:tc>
          <w:tcPr>
            <w:tcW w:type="dxa" w:w="12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1,048</w:t>
            </w:r>
          </w:p>
        </w:tc>
        <w:tc>
          <w:tcPr>
            <w:tcW w:type="dxa" w:w="21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повышенный</w:t>
            </w:r>
          </w:p>
        </w:tc>
        <w:tc>
          <w:tcPr>
            <w:tcW w:type="dxa" w:w="15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1,067</w:t>
            </w:r>
          </w:p>
        </w:tc>
        <w:tc>
          <w:tcPr>
            <w:tcW w:type="dxa" w:w="315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Второй пик: курсовые проекты</w:t>
            </w:r>
          </w:p>
        </w:tc>
      </w:tr>
      <w:tr>
        <w:tc>
          <w:tcPr>
            <w:tcW w:type="dxa" w:w="12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Декабрь</w:t>
            </w:r>
          </w:p>
        </w:tc>
        <w:tc>
          <w:tcPr>
            <w:tcW w:type="dxa" w:w="12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0,973</w:t>
            </w:r>
          </w:p>
        </w:tc>
        <w:tc>
          <w:tcPr>
            <w:tcW w:type="dxa" w:w="21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средний, спад в последнюю неделю</w:t>
            </w:r>
          </w:p>
        </w:tc>
        <w:tc>
          <w:tcPr>
            <w:tcW w:type="dxa" w:w="15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1,131</w:t>
            </w:r>
          </w:p>
        </w:tc>
        <w:tc>
          <w:tcPr>
            <w:tcW w:type="dxa" w:w="315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Спад перед праздниками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Для PlantUML A = 1,121 − 0,823 = 0,298 — умеренная сезонность у верхней границы. Для text to diagram A = 1,323 − 0,591 = 0,733 — выраженная.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Повторяемость подтверждена за три года. Провал августа у PlantUML — 22 (2022), 26 (2023) и 37 (2024): каждый раз ниже соседних месяцев. Летний провал text to diagram в июле–августе — 4 и 3 (2022), 5 и 5 (2023), 5 и 6 (2024). Спад в последнюю неделю декабря по недельным данным: 2021 — 9 против 19 в среднем за квартал (−52,6 %), 2022 — 15 против 24 (−37,5 %), 2023 — 20 против 34 (−41,2 %).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Классический индекс Word-методики [6] рассчитывается по формуле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Iₘ = Ȳₘ / Ȳ · 100, (9)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Ȳₘ – среднее значение месяца m по всем годам;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Ȳ – среднее всех месяцев.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Для PlantUML он даёт максимум в мае (109,0) и минимум в сентябре (84,9). Этот индекс смещён ростом тренда: в осенние месяцы попадают низкие значения 2021 г. Поэтому в выводах используется индекс шаблона, очищенный от тренда.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Вывод о сезонности. Данные показывают сезонность учебного типа: умеренную по PlantUML и выраженную по text to diagram. Наиболее сильные значения приходятся на март–май и ноябрь, снижение — на июль–сентябрь с минимумом в августе. Рисунок совпадает с учебным годом, значит, заметную долю аудитории категории составляют студенты и преподаватели (сегменты S-01 и S-04). Продвижение NotaCode нужно начинать за 1–2 месяца до пиков: в конце января — феврале и в сентябре — октябре. Для MVP (06.12.2026) первая кампания — февраль 2027 г.</w:t>
      </w:r>
    </w:p>
    <w:bookmarkEnd w:id="41"/>
    <w:bookmarkStart w:id="43" w:name="оценка-циклических-отклонений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2.10 Оценка циклических отклонений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Циклический коэффициент рассчитывается по формуле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K = Y / (T · S), (10)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Y – фактический сводный индекс;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T – тренд по формуле (6);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S – сезонный индекс месяца по формуле (7).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Фаза: K &lt; 0,9 — «ниже тренда», K &gt; 1,1 — «выше тренда», иначе — «норма». Результаты листа «Деловые_циклы» приведены в таблице 17. Помесячный расчёт приведён в приложении В.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17 – Циклические отклонения по Excel-шаблону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591"/>
        <w:gridCol w:w="4764"/>
      </w:tblGrid>
      <w:tr>
        <w:tc>
          <w:tcPr>
            <w:tcW w:type="dxa" w:w="45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Показатель</w:t>
            </w:r>
          </w:p>
        </w:tc>
        <w:tc>
          <w:tcPr>
            <w:tcW w:type="dxa" w:w="47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Значение</w:t>
            </w:r>
          </w:p>
        </w:tc>
      </w:tr>
      <w:tr>
        <w:tc>
          <w:tcPr>
            <w:tcW w:type="dxa" w:w="45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Последний период</w:t>
            </w:r>
          </w:p>
        </w:tc>
        <w:tc>
          <w:tcPr>
            <w:tcW w:type="dxa" w:w="47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2024-12</w:t>
            </w:r>
          </w:p>
        </w:tc>
      </w:tr>
      <w:tr>
        <w:tc>
          <w:tcPr>
            <w:tcW w:type="dxa" w:w="45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Текущий коэффициент, формула (10)</w:t>
            </w:r>
          </w:p>
        </w:tc>
        <w:tc>
          <w:tcPr>
            <w:tcW w:type="dxa" w:w="47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53 / (44,33 · 0,973) = 1,228</w:t>
            </w:r>
          </w:p>
        </w:tc>
      </w:tr>
      <w:tr>
        <w:tc>
          <w:tcPr>
            <w:tcW w:type="dxa" w:w="45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Текущая фаза</w:t>
            </w:r>
          </w:p>
        </w:tc>
        <w:tc>
          <w:tcPr>
            <w:tcW w:type="dxa" w:w="47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выше тренда</w:t>
            </w:r>
          </w:p>
        </w:tc>
      </w:tr>
      <w:tr>
        <w:tc>
          <w:tcPr>
            <w:tcW w:type="dxa" w:w="45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Минимальный и максимальный K</w:t>
            </w:r>
          </w:p>
        </w:tc>
        <w:tc>
          <w:tcPr>
            <w:tcW w:type="dxa" w:w="47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1,030 (2023-04) и 1,246 (2024-04)</w:t>
            </w:r>
          </w:p>
        </w:tc>
      </w:tr>
      <w:tr>
        <w:tc>
          <w:tcPr>
            <w:tcW w:type="dxa" w:w="45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Амплитуда</w:t>
            </w:r>
          </w:p>
        </w:tc>
        <w:tc>
          <w:tcPr>
            <w:tcW w:type="dxa" w:w="47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0,216</w:t>
            </w:r>
          </w:p>
        </w:tc>
      </w:tr>
      <w:tr>
        <w:tc>
          <w:tcPr>
            <w:tcW w:type="dxa" w:w="45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Фазы за 29 рассчитанных месяцев</w:t>
            </w:r>
          </w:p>
        </w:tc>
        <w:tc>
          <w:tcPr>
            <w:tcW w:type="dxa" w:w="47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выше тренда — 18; норма — 11; ниже тренда — 0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Итоговая формулировка панели шаблона: «Интерес аудитории растет; бизнес-идея может быть дополнительно проверена на платежеспособный спрос. Сезонность: умеренная сезонность; максимум интереса — март, минимум — август. Текущая фаза спроса: выше тренда».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У шаблона обнаружен методический изъян. Скользящее среднее по формуле (6) строится по 12 предыдущим месяцам и в растущем ряду отстаёт от факта примерно на полгода. Поэтому K систематически больше единицы: нет ни одного месяца «ниже тренда». Методика требует оценивать цикл по ряду, очищенному от тренда и сезонности [6]. Поэтому выполнен контрольный расчёт с центрированным скользящим средним 2×12: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Tₙᶜ = (avg(Gₙ₋₆…Gₙ₊₅) + avg(Gₙ₋₅…Gₙ₊₆)) / 2. (11)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Сравнение двух вариантов приведено в таблице 18 и на рисунке 5.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18 – Сравнение расчёта по шаблону и с центрированным скользящим средним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420"/>
        <w:gridCol w:w="2747"/>
        <w:gridCol w:w="3187"/>
      </w:tblGrid>
      <w:tr>
        <w:tc>
          <w:tcPr>
            <w:tcW w:type="dxa" w:w="34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Показатель</w:t>
            </w:r>
          </w:p>
        </w:tc>
        <w:tc>
          <w:tcPr>
            <w:tcW w:type="dxa" w:w="27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Шаблон, формула (6)</w:t>
            </w:r>
          </w:p>
        </w:tc>
        <w:tc>
          <w:tcPr>
            <w:tcW w:type="dxa" w:w="318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Поправка, формула (11)</w:t>
            </w:r>
          </w:p>
        </w:tc>
      </w:tr>
      <w:tr>
        <w:tc>
          <w:tcPr>
            <w:tcW w:type="dxa" w:w="34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Сезонный максимум и минимум</w:t>
            </w:r>
          </w:p>
        </w:tc>
        <w:tc>
          <w:tcPr>
            <w:tcW w:type="dxa" w:w="27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март 1,121; август 0,823</w:t>
            </w:r>
          </w:p>
        </w:tc>
        <w:tc>
          <w:tcPr>
            <w:tcW w:type="dxa" w:w="318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март 1,106; август 0,836</w:t>
            </w:r>
          </w:p>
        </w:tc>
      </w:tr>
      <w:tr>
        <w:tc>
          <w:tcPr>
            <w:tcW w:type="dxa" w:w="34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Амплитуда сезонности</w:t>
            </w:r>
          </w:p>
        </w:tc>
        <w:tc>
          <w:tcPr>
            <w:tcW w:type="dxa" w:w="27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0,298 (умеренная)</w:t>
            </w:r>
          </w:p>
        </w:tc>
        <w:tc>
          <w:tcPr>
            <w:tcW w:type="dxa" w:w="318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0,269 (умеренная)</w:t>
            </w:r>
          </w:p>
        </w:tc>
      </w:tr>
      <w:tr>
        <w:tc>
          <w:tcPr>
            <w:tcW w:type="dxa" w:w="34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Диапазон K</w:t>
            </w:r>
          </w:p>
        </w:tc>
        <w:tc>
          <w:tcPr>
            <w:tcW w:type="dxa" w:w="27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1,030…1,246</w:t>
            </w:r>
          </w:p>
        </w:tc>
        <w:tc>
          <w:tcPr>
            <w:tcW w:type="dxa" w:w="318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0,867…1,128</w:t>
            </w:r>
          </w:p>
        </w:tc>
      </w:tr>
      <w:tr>
        <w:tc>
          <w:tcPr>
            <w:tcW w:type="dxa" w:w="34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Месяцы «выше тренда»</w:t>
            </w:r>
          </w:p>
        </w:tc>
        <w:tc>
          <w:tcPr>
            <w:tcW w:type="dxa" w:w="27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18 из 29</w:t>
            </w:r>
          </w:p>
        </w:tc>
        <w:tc>
          <w:tcPr>
            <w:tcW w:type="dxa" w:w="318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из 28 (2023-02; 2024-06)</w:t>
            </w:r>
          </w:p>
        </w:tc>
      </w:tr>
      <w:tr>
        <w:tc>
          <w:tcPr>
            <w:tcW w:type="dxa" w:w="34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Месяцы «ниже тренда»</w:t>
            </w:r>
          </w:p>
        </w:tc>
        <w:tc>
          <w:tcPr>
            <w:tcW w:type="dxa" w:w="27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</w:t>
            </w:r>
          </w:p>
        </w:tc>
        <w:tc>
          <w:tcPr>
            <w:tcW w:type="dxa" w:w="318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(2022-06; 2024-02)</w:t>
            </w:r>
          </w:p>
        </w:tc>
      </w:tr>
      <w:tr>
        <w:tc>
          <w:tcPr>
            <w:tcW w:type="dxa" w:w="34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Последний рассчитанный K</w:t>
            </w:r>
          </w:p>
        </w:tc>
        <w:tc>
          <w:tcPr>
            <w:tcW w:type="dxa" w:w="27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1,228 (2024-12)</w:t>
            </w:r>
          </w:p>
        </w:tc>
        <w:tc>
          <w:tcPr>
            <w:tcW w:type="dxa" w:w="318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1,128 (2024-06)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4800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Рисунки/fig03_dekompoziciya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0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5 – Мультипликативная декомпозиция ряда PlantUML: тренд, сезонность и циклический коэффициент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Вывод о циклических отклонениях. После сглаживания и исключения сезонности поисковый интерес к категории почти всё время находится в норме: 24 из 28 месяцев в интервале 0,9–1,1. Отклонения единичные и не образуют фаз длиной в несколько кварталов. Признаков циклического спада нет; по растущему скользящему среднему ряд находится в фазе роста. Весной–летом 2024 г. интерес был выше трендово-сезонного уровня (K = 1,08…1,13). Это может указывать на фазу повышенной активности, но проверять это нужно внешними данными: ИТ-вакансиями, бюджетами на инструменты разработки, релизами конкурентов. Поисковые данные деловой цикл не доказывают. Падение PlantUML в начале августа 2026 г. (с 80–100 до 26–32 на графике замера) считается артефактом неполной последней недели и в расчёт не включено.</w:t>
      </w:r>
    </w:p>
    <w:bookmarkEnd w:id="43"/>
    <w:bookmarkStart w:id="44" w:name="Xe536e64a750485db25ea072d632739650e519db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2.11 Сравнение Google Trends и Яндекс Вордстат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Сигналы двух сервисов сопоставлены по критериям методики (таблица 19).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19 – Сопоставление источников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05"/>
        <w:gridCol w:w="2626"/>
        <w:gridCol w:w="1949"/>
        <w:gridCol w:w="2674"/>
      </w:tblGrid>
      <w:tr>
        <w:tc>
          <w:tcPr>
            <w:tcW w:type="dxa" w:w="21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Критерий</w:t>
            </w:r>
          </w:p>
        </w:tc>
        <w:tc>
          <w:tcPr>
            <w:tcW w:type="dxa" w:w="26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Сигнал Google Trends</w:t>
            </w:r>
          </w:p>
        </w:tc>
        <w:tc>
          <w:tcPr>
            <w:tcW w:type="dxa" w:w="19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Сигнал Яндекс Вордстат</w:t>
            </w:r>
          </w:p>
        </w:tc>
        <w:tc>
          <w:tcPr>
            <w:tcW w:type="dxa" w:w="26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Итоговая интерпретация</w:t>
            </w:r>
          </w:p>
        </w:tc>
      </w:tr>
      <w:tr>
        <w:tc>
          <w:tcPr>
            <w:tcW w:type="dxa" w:w="21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Наличие интереса</w:t>
            </w:r>
          </w:p>
        </w:tc>
        <w:tc>
          <w:tcPr>
            <w:tcW w:type="dxa" w:w="26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Есть: PlantUML — средний уровень (32–41)</w:t>
            </w:r>
          </w:p>
        </w:tc>
        <w:tc>
          <w:tcPr>
            <w:tcW w:type="dxa" w:w="19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26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Есть (по одному источнику)</w:t>
            </w:r>
          </w:p>
        </w:tc>
      </w:tr>
      <w:tr>
        <w:tc>
          <w:tcPr>
            <w:tcW w:type="dxa" w:w="21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Устойчивость</w:t>
            </w:r>
          </w:p>
        </w:tc>
        <w:tc>
          <w:tcPr>
            <w:tcW w:type="dxa" w:w="26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Рост +94,2 %, повторяемая учебная сезонность</w:t>
            </w:r>
          </w:p>
        </w:tc>
        <w:tc>
          <w:tcPr>
            <w:tcW w:type="dxa" w:w="19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26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Устойчивый, сезонный</w:t>
            </w:r>
          </w:p>
        </w:tc>
      </w:tr>
      <w:tr>
        <w:tc>
          <w:tcPr>
            <w:tcW w:type="dxa" w:w="21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Коммерческий характер</w:t>
            </w:r>
          </w:p>
        </w:tc>
        <w:tc>
          <w:tcPr>
            <w:tcW w:type="dxa" w:w="26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Косвенно: бренды и инструменты («generator», «tool»)</w:t>
            </w:r>
          </w:p>
        </w:tc>
        <w:tc>
          <w:tcPr>
            <w:tcW w:type="dxa" w:w="19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26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Смешанный: инструментальный и учебный</w:t>
            </w:r>
          </w:p>
        </w:tc>
      </w:tr>
      <w:tr>
        <w:tc>
          <w:tcPr>
            <w:tcW w:type="dxa" w:w="21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Территориальная выраженность</w:t>
            </w:r>
          </w:p>
        </w:tc>
        <w:tc>
          <w:tcPr>
            <w:tcW w:type="dxa" w:w="26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Беларусь — 5-е место, Россия — 4-е</w:t>
            </w:r>
          </w:p>
        </w:tc>
        <w:tc>
          <w:tcPr>
            <w:tcW w:type="dxa" w:w="19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 (ожидается Минск выше 100 %)</w:t>
            </w:r>
          </w:p>
        </w:tc>
        <w:tc>
          <w:tcPr>
            <w:tcW w:type="dxa" w:w="26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Национальный, дистанционный</w:t>
            </w:r>
          </w:p>
        </w:tc>
      </w:tr>
      <w:tr>
        <w:tc>
          <w:tcPr>
            <w:tcW w:type="dxa" w:w="21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Специализация</w:t>
            </w:r>
          </w:p>
        </w:tc>
        <w:tc>
          <w:tcPr>
            <w:tcW w:type="dxa" w:w="26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Генерация по тексту растёт; генераторы UML и ERD — плато</w:t>
            </w:r>
          </w:p>
        </w:tc>
        <w:tc>
          <w:tcPr>
            <w:tcW w:type="dxa" w:w="19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26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Первой выводить валидацию IDEF и BPMN как кода; AI — вторым этапом</w:t>
            </w:r>
          </w:p>
        </w:tc>
      </w:tr>
      <w:tr>
        <w:tc>
          <w:tcPr>
            <w:tcW w:type="dxa" w:w="21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Ограничения</w:t>
            </w:r>
          </w:p>
        </w:tc>
        <w:tc>
          <w:tcPr>
            <w:tcW w:type="dxa" w:w="26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Мир, а не РБ; относительный индекс</w:t>
            </w:r>
          </w:p>
        </w:tc>
        <w:tc>
          <w:tcPr>
            <w:tcW w:type="dxa" w:w="19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Только аудитория Яндекса</w:t>
            </w:r>
          </w:p>
        </w:tc>
        <w:tc>
          <w:tcPr>
            <w:tcW w:type="dxa" w:w="26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Нужен повтор Google Trends по РБ и сбор Вордстата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Сейчас сигналы дают ситуацию «Google Trends растёт, Вордстат не измерен». По методике окончательный вывод делать нельзя, пока не проверены формулировки, регион и доля Google и Яндекса в Беларуси. Показатели сервисов механически не складываются: в Excel-шаблоне они объединяются только через нормированный сводный индекс по формуле (4), и только после досбора.</w:t>
      </w:r>
    </w:p>
    <w:bookmarkEnd w:id="44"/>
    <w:bookmarkStart w:id="47" w:name="паспорт-границ-рынка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2.12 Паспорт границ рынка</w:t>
      </w:r>
    </w:p>
    <w:bookmarkStart w:id="45" w:name="продуктовые-границы-и-заменители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2.12.1 Продуктовые границы и заменители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Продуктовые границы зафиксированы по методике [6] (таблица 20).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20 – Продуктовые границы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65"/>
        <w:gridCol w:w="6290"/>
      </w:tblGrid>
      <w:tr>
        <w:tc>
          <w:tcPr>
            <w:tcW w:type="dxa" w:w="30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Поле</w:t>
            </w:r>
          </w:p>
        </w:tc>
        <w:tc>
          <w:tcPr>
            <w:tcW w:type="dxa" w:w="629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Заполнение</w:t>
            </w:r>
          </w:p>
        </w:tc>
      </w:tr>
      <w:tr>
        <w:tc>
          <w:tcPr>
            <w:tcW w:type="dxa" w:w="30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Исходная идея</w:t>
            </w:r>
          </w:p>
        </w:tc>
        <w:tc>
          <w:tcPr>
            <w:tcW w:type="dxa" w:w="629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Веб-IDE для диаграмм строгих нотаций как кода</w:t>
            </w:r>
          </w:p>
        </w:tc>
      </w:tr>
      <w:tr>
        <w:tc>
          <w:tcPr>
            <w:tcW w:type="dxa" w:w="30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Клиентская задача</w:t>
            </w:r>
          </w:p>
        </w:tc>
        <w:tc>
          <w:tcPr>
            <w:tcW w:type="dxa" w:w="629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Построить корректную по правилам нотации диаграмму и поддерживать её актуальной</w:t>
            </w:r>
          </w:p>
        </w:tc>
      </w:tr>
      <w:tr>
        <w:tc>
          <w:tcPr>
            <w:tcW w:type="dxa" w:w="30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Основные решения</w:t>
            </w:r>
          </w:p>
        </w:tc>
        <w:tc>
          <w:tcPr>
            <w:tcW w:type="dxa" w:w="629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DSL-редакторы диаграмм с рендером: UML, BPMN, ERD, IDEF0/IDEF1X/IDEF3, DFD, сети Петри; проверка правил нотации</w:t>
            </w:r>
          </w:p>
        </w:tc>
      </w:tr>
      <w:tr>
        <w:tc>
          <w:tcPr>
            <w:tcW w:type="dxa" w:w="30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Дополнительные</w:t>
            </w:r>
          </w:p>
        </w:tc>
        <w:tc>
          <w:tcPr>
            <w:tcW w:type="dxa" w:w="629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Версии, diff и откат; экспорт и импорт в PlantUML, Mermaid, D2, DOT, BPMN XML, XMI, PNML, draw.io, SQL DDL; интеграции с GitHub и Google Drive</w:t>
            </w:r>
          </w:p>
        </w:tc>
      </w:tr>
      <w:tr>
        <w:tc>
          <w:tcPr>
            <w:tcW w:type="dxa" w:w="30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Смежные (отдельная проверка)</w:t>
            </w:r>
          </w:p>
        </w:tc>
        <w:tc>
          <w:tcPr>
            <w:tcW w:type="dxa" w:w="629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AI-генерация по тексту; C4 и архитектурные диаграммы; совместное редактирование в реальном времени</w:t>
            </w:r>
          </w:p>
        </w:tc>
      </w:tr>
      <w:tr>
        <w:tc>
          <w:tcPr>
            <w:tcW w:type="dxa" w:w="30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Исключения</w:t>
            </w:r>
          </w:p>
        </w:tc>
        <w:tc>
          <w:tcPr>
            <w:tcW w:type="dxa" w:w="629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Универсальные доски (Miro, FigJam), редакторы блок-схем без нотаций, BI-графики, корпоративные EA-репозитории (Sparx EA, ARIS) как платформа управления архитектурой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Заменители разделены на шесть типов (таблица 21).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21 – Матрица заменителей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056"/>
        <w:gridCol w:w="2051"/>
        <w:gridCol w:w="2776"/>
        <w:gridCol w:w="2470"/>
      </w:tblGrid>
      <w:tr>
        <w:tc>
          <w:tcPr>
            <w:tcW w:type="dxa" w:w="20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Тип альтернативы</w:t>
            </w:r>
          </w:p>
        </w:tc>
        <w:tc>
          <w:tcPr>
            <w:tcW w:type="dxa" w:w="205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Признак</w:t>
            </w:r>
          </w:p>
        </w:tc>
        <w:tc>
          <w:tcPr>
            <w:tcW w:type="dxa" w:w="27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Примеры</w:t>
            </w:r>
          </w:p>
        </w:tc>
        <w:tc>
          <w:tcPr>
            <w:tcW w:type="dxa" w:w="24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Источник</w:t>
            </w:r>
          </w:p>
        </w:tc>
      </w:tr>
      <w:tr>
        <w:tc>
          <w:tcPr>
            <w:tcW w:type="dxa" w:w="20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Прямой конкурент</w:t>
            </w:r>
          </w:p>
        </w:tc>
        <w:tc>
          <w:tcPr>
            <w:tcW w:type="dxa" w:w="205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Текст → диаграмма, та же аудитория</w:t>
            </w:r>
          </w:p>
        </w:tc>
        <w:tc>
          <w:tcPr>
            <w:tcW w:type="dxa" w:w="27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PlantUML, Mermaid, D2, Eraser.io</w:t>
            </w:r>
          </w:p>
        </w:tc>
        <w:tc>
          <w:tcPr>
            <w:tcW w:type="dxa" w:w="24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[1], [8]</w:t>
            </w:r>
          </w:p>
        </w:tc>
      </w:tr>
      <w:tr>
        <w:tc>
          <w:tcPr>
            <w:tcW w:type="dxa" w:w="20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Частичный заменитель</w:t>
            </w:r>
          </w:p>
        </w:tc>
        <w:tc>
          <w:tcPr>
            <w:tcW w:type="dxa" w:w="205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Решает часть задачи</w:t>
            </w:r>
          </w:p>
        </w:tc>
        <w:tc>
          <w:tcPr>
            <w:tcW w:type="dxa" w:w="27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Camunda Modeler, bpmn.io, dbdiagram.io, Structurizr, CPN Tools</w:t>
            </w:r>
          </w:p>
        </w:tc>
        <w:tc>
          <w:tcPr>
            <w:tcW w:type="dxa" w:w="24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[8]</w:t>
            </w:r>
          </w:p>
        </w:tc>
      </w:tr>
      <w:tr>
        <w:tc>
          <w:tcPr>
            <w:tcW w:type="dxa" w:w="20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Внутренний заменитель</w:t>
            </w:r>
          </w:p>
        </w:tc>
        <w:tc>
          <w:tcPr>
            <w:tcW w:type="dxa" w:w="205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Инструмент уже есть в организации или вузе</w:t>
            </w:r>
          </w:p>
        </w:tc>
        <w:tc>
          <w:tcPr>
            <w:tcW w:type="dxa" w:w="27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Visio, Enterprise Architect, Visual Paradigm, Ramus, BPwin</w:t>
            </w:r>
          </w:p>
        </w:tc>
        <w:tc>
          <w:tcPr>
            <w:tcW w:type="dxa" w:w="24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[8] (допущение)</w:t>
            </w:r>
          </w:p>
        </w:tc>
      </w:tr>
      <w:tr>
        <w:tc>
          <w:tcPr>
            <w:tcW w:type="dxa" w:w="20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Самостоятельное решение</w:t>
            </w:r>
          </w:p>
        </w:tc>
        <w:tc>
          <w:tcPr>
            <w:tcW w:type="dxa" w:w="205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Рисует сам вручную</w:t>
            </w:r>
          </w:p>
        </w:tc>
        <w:tc>
          <w:tcPr>
            <w:tcW w:type="dxa" w:w="27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draw.io, Lucidchart, Word, PowerPoint</w:t>
            </w:r>
          </w:p>
        </w:tc>
        <w:tc>
          <w:tcPr>
            <w:tcW w:type="dxa" w:w="24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[5]: app.diagrams.net — 86,6 % трафика выборки</w:t>
            </w:r>
          </w:p>
        </w:tc>
      </w:tr>
      <w:tr>
        <w:tc>
          <w:tcPr>
            <w:tcW w:type="dxa" w:w="20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Цифровой сервис</w:t>
            </w:r>
          </w:p>
        </w:tc>
        <w:tc>
          <w:tcPr>
            <w:tcW w:type="dxa" w:w="205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Частичная автоматизация</w:t>
            </w:r>
          </w:p>
        </w:tc>
        <w:tc>
          <w:tcPr>
            <w:tcW w:type="dxa" w:w="27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LLM-чаты, генерирующие код PlantUML или Mermaid</w:t>
            </w:r>
          </w:p>
        </w:tc>
        <w:tc>
          <w:tcPr>
            <w:tcW w:type="dxa" w:w="24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[1]: Breakout «text to diagram ai»</w:t>
            </w:r>
          </w:p>
        </w:tc>
      </w:tr>
      <w:tr>
        <w:tc>
          <w:tcPr>
            <w:tcW w:type="dxa" w:w="20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Обучающее решение</w:t>
            </w:r>
          </w:p>
        </w:tc>
        <w:tc>
          <w:tcPr>
            <w:tcW w:type="dxa" w:w="205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Покупка знаний вместо инструмента</w:t>
            </w:r>
          </w:p>
        </w:tc>
        <w:tc>
          <w:tcPr>
            <w:tcW w:type="dxa" w:w="27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Курсы бизнес-анализа и UML</w:t>
            </w:r>
          </w:p>
        </w:tc>
        <w:tc>
          <w:tcPr>
            <w:tcW w:type="dxa" w:w="24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Исключено из рынка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Проверочный вопрос методики: если Pro подорожает с 4 до 8 USD в месяц, что выберет клиент? S-03 перейдёт на бесплатные PlantUML или Mermaid, S-01 — на draw.io, S-02 — на Camunda Modeler. Значит, NotaCode конкурирует за бюджет с сильными бесплатными заменителями. Отсюда цена на уровне 4 USD и вход через Free.</w:t>
      </w:r>
    </w:p>
    <w:bookmarkEnd w:id="45"/>
    <w:bookmarkStart w:id="46" w:name="итоговый-паспорт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2.12.2 Итоговый паспорт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Паспорт границ рынка по шести видам приведён в таблице 22.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22 – Паспорт границ рынка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076"/>
        <w:gridCol w:w="3586"/>
        <w:gridCol w:w="1846"/>
        <w:gridCol w:w="1846"/>
      </w:tblGrid>
      <w:tr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Поле паспорта</w:t>
            </w:r>
          </w:p>
        </w:tc>
        <w:tc>
          <w:tcPr>
            <w:tcW w:type="dxa" w:w="35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Что зафиксировано</w:t>
            </w:r>
          </w:p>
        </w:tc>
        <w:tc>
          <w:tcPr>
            <w:tcW w:type="dxa" w:w="1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Источник</w:t>
            </w:r>
          </w:p>
        </w:tc>
        <w:tc>
          <w:tcPr>
            <w:tcW w:type="dxa" w:w="1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Статус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Название рынка</w:t>
            </w:r>
          </w:p>
        </w:tc>
        <w:tc>
          <w:tcPr>
            <w:tcW w:type="dxa" w:w="35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Онлайн-инструменты текстового моделирования диаграмм формальных нотаций, русскоязычный сегмент с ядром в РБ</w:t>
            </w:r>
          </w:p>
        </w:tc>
        <w:tc>
          <w:tcPr>
            <w:tcW w:type="dxa" w:w="1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Подразделы 2.12.1, 2.13</w:t>
            </w:r>
          </w:p>
        </w:tc>
        <w:tc>
          <w:tcPr>
            <w:tcW w:type="dxa" w:w="1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зафиксировано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Клиентская задача</w:t>
            </w:r>
          </w:p>
        </w:tc>
        <w:tc>
          <w:tcPr>
            <w:tcW w:type="dxa" w:w="35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Построить корректную диаграмму нотации и хранить её как текст с версиями</w:t>
            </w:r>
          </w:p>
        </w:tc>
        <w:tc>
          <w:tcPr>
            <w:tcW w:type="dxa" w:w="1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Ядро, концепция [7]</w:t>
            </w:r>
          </w:p>
        </w:tc>
        <w:tc>
          <w:tcPr>
            <w:tcW w:type="dxa" w:w="1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зафиксировано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Целевые сегменты</w:t>
            </w:r>
          </w:p>
        </w:tc>
        <w:tc>
          <w:tcPr>
            <w:tcW w:type="dxa" w:w="35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 студенты (Free); S-02 аналитики (Pro); S-03 архитекторы (Pro); S-04 преподаватели (канал)</w:t>
            </w:r>
          </w:p>
        </w:tc>
        <w:tc>
          <w:tcPr>
            <w:tcW w:type="dxa" w:w="1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Концепция [7], сезонность</w:t>
            </w:r>
          </w:p>
        </w:tc>
        <w:tc>
          <w:tcPr>
            <w:tcW w:type="dxa" w:w="1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численность — ЛР2–3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Продуктовые границы</w:t>
            </w:r>
          </w:p>
        </w:tc>
        <w:tc>
          <w:tcPr>
            <w:tcW w:type="dxa" w:w="35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DSL-редакторы с рендером и валидацией 9 семейств нотаций, версии, экспорт</w:t>
            </w:r>
          </w:p>
        </w:tc>
        <w:tc>
          <w:tcPr>
            <w:tcW w:type="dxa" w:w="1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[8], [1]</w:t>
            </w:r>
          </w:p>
        </w:tc>
        <w:tc>
          <w:tcPr>
            <w:tcW w:type="dxa" w:w="1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зафиксировано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Исключения</w:t>
            </w:r>
          </w:p>
        </w:tc>
        <w:tc>
          <w:tcPr>
            <w:tcW w:type="dxa" w:w="35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Доски, BI-графики, EA-репозитории, обучение</w:t>
            </w:r>
          </w:p>
        </w:tc>
        <w:tc>
          <w:tcPr>
            <w:tcW w:type="dxa" w:w="1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Критерий «иная задача»</w:t>
            </w:r>
          </w:p>
        </w:tc>
        <w:tc>
          <w:tcPr>
            <w:tcW w:type="dxa" w:w="1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зафиксировано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Клиентские границы</w:t>
            </w:r>
          </w:p>
        </w:tc>
        <w:tc>
          <w:tcPr>
            <w:tcW w:type="dxa" w:w="35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B2C (студенты) и B2B-самообслуживание; рынок односторонний, преподаватели — канал влияния, а не вторая сторона платформы</w:t>
            </w:r>
          </w:p>
        </w:tc>
        <w:tc>
          <w:tcPr>
            <w:tcW w:type="dxa" w:w="1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[7]</w:t>
            </w:r>
          </w:p>
        </w:tc>
        <w:tc>
          <w:tcPr>
            <w:tcW w:type="dxa" w:w="1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зафиксировано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Географические границы</w:t>
            </w:r>
          </w:p>
        </w:tc>
        <w:tc>
          <w:tcPr>
            <w:tcW w:type="dxa" w:w="35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Ядро — РБ (тест — Минск); расширение — русскоязычное СНГ; англоязычный рынок — после локализации</w:t>
            </w:r>
          </w:p>
        </w:tc>
        <w:tc>
          <w:tcPr>
            <w:tcW w:type="dxa" w:w="1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[1], [5], подраздел 2.13</w:t>
            </w:r>
          </w:p>
        </w:tc>
        <w:tc>
          <w:tcPr>
            <w:tcW w:type="dxa" w:w="1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 Вордстат по городам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 Канальные границы</w:t>
            </w:r>
          </w:p>
        </w:tc>
        <w:tc>
          <w:tcPr>
            <w:tcW w:type="dxa" w:w="35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Поиск Google и Яндекс («… онлайн»), GitHub, Telegram-чаты ИТ и вузов, Habr, вузовские курсы (S-04), PWA напрямую</w:t>
            </w:r>
          </w:p>
        </w:tc>
        <w:tc>
          <w:tcPr>
            <w:tcW w:type="dxa" w:w="1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Ядро, [5]</w:t>
            </w:r>
          </w:p>
        </w:tc>
        <w:tc>
          <w:tcPr>
            <w:tcW w:type="dxa" w:w="1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 доли каналов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 Семантические границы</w:t>
            </w:r>
          </w:p>
        </w:tc>
        <w:tc>
          <w:tcPr>
            <w:tcW w:type="dxa" w:w="35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Кластеры К1–К10; исключены рефераты, вакансии, курсы, пиратство</w:t>
            </w:r>
          </w:p>
        </w:tc>
        <w:tc>
          <w:tcPr>
            <w:tcW w:type="dxa" w:w="1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Подраздел 2.4, приложение А</w:t>
            </w:r>
          </w:p>
        </w:tc>
        <w:tc>
          <w:tcPr>
            <w:tcW w:type="dxa" w:w="1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зафиксировано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 Конкурентные границы и заменители</w:t>
            </w:r>
          </w:p>
        </w:tc>
        <w:tc>
          <w:tcPr>
            <w:tcW w:type="dxa" w:w="35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Прямые: PlantUML, Mermaid, D2, Eraser.io; косвенные: draw.io, Lucidchart, Camunda, dbdiagram, Ramus, Visio, EA, LLM-чаты</w:t>
            </w:r>
          </w:p>
        </w:tc>
        <w:tc>
          <w:tcPr>
            <w:tcW w:type="dxa" w:w="1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Таблица 21</w:t>
            </w:r>
          </w:p>
        </w:tc>
        <w:tc>
          <w:tcPr>
            <w:tcW w:type="dxa" w:w="1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зафиксировано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Тип спроса</w:t>
            </w:r>
          </w:p>
        </w:tc>
        <w:tc>
          <w:tcPr>
            <w:tcW w:type="dxa" w:w="35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Смешанный: инструментальный и учебный, с долей сравнительного</w:t>
            </w:r>
          </w:p>
        </w:tc>
        <w:tc>
          <w:tcPr>
            <w:tcW w:type="dxa" w:w="1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Классификация ядра</w:t>
            </w:r>
          </w:p>
        </w:tc>
        <w:tc>
          <w:tcPr>
            <w:tcW w:type="dxa" w:w="1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зафиксировано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Источники данных</w:t>
            </w:r>
          </w:p>
        </w:tc>
        <w:tc>
          <w:tcPr>
            <w:tcW w:type="dxa" w:w="35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Google Trends, Similarweb, концепция, анализ аналогов</w:t>
            </w:r>
          </w:p>
        </w:tc>
        <w:tc>
          <w:tcPr>
            <w:tcW w:type="dxa" w:w="1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[1], [5], [7], [8]</w:t>
            </w:r>
          </w:p>
        </w:tc>
        <w:tc>
          <w:tcPr>
            <w:tcW w:type="dxa" w:w="1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Вордстат — 🔲 ДОСНЯТЬ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Ограничения</w:t>
            </w:r>
          </w:p>
        </w:tc>
        <w:tc>
          <w:tcPr>
            <w:tcW w:type="dxa" w:w="35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Google Trends по миру; нет Вордстата; нет статистики численности сегментов</w:t>
            </w:r>
          </w:p>
        </w:tc>
        <w:tc>
          <w:tcPr>
            <w:tcW w:type="dxa" w:w="1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Подраздел 2.15</w:t>
            </w:r>
          </w:p>
        </w:tc>
        <w:tc>
          <w:tcPr>
            <w:tcW w:type="dxa" w:w="1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Итоговая формулировка границ рынка. Для целей дальнейшего анализа рынок фиксируется как рынок онлайн-инструментов текстового моделирования диаграмм формальных нотаций (UML, BPMN 2.0, ERD, IDEF0/IDEF1X/IDEF3, DFD, сети Петри). Его потребители — студенты технических специальностей, бизнес- и системные аналитики и архитекторы ПО. Территория — Республика Беларусь с дистанционным обслуживанием русскоязычного сегмента СНГ.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 продуктовые границы включаются DSL-редакторы с рендером, проверкой правил нотации, версионированием и экспортом в стандартные форматы: они решают задачу быстрого построения корректной диаграммы и её поддержки. Из анализа исключаются универсальные доски, BI-графики, корпоративные EA-репозитории и обучающие курсы: они относятся к иной задаче, аудитории или модели потребления.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Основные каналы возникновения и реализации спроса — поисковые системы, профессиональные ИТ-сообщества, GitHub и учебный канал через преподавателей. В качестве заменителей учитываются PlantUML, Mermaid, D2, Eraser.io, draw.io, Lucidchart, специализированные моделлеры и генерация кода диаграмм через LLM. Формулировка задаёт основу для оценки объёма рынка, анализа конкурентной среды, цен и модели монетизации.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Рынок цифровой: первичный контакт формируется через поисковые системы, GitHub, профессиональные сообщества и учебные площадки. Поэтому кроме продукта и территории учитываются цифровые каналы, язык запросов (русский для S-01, смешанный русско-английский для S-03), тип намерения и возможность дистанционного обслуживания.</w:t>
      </w:r>
    </w:p>
    <w:bookmarkEnd w:id="46"/>
    <w:bookmarkEnd w:id="47"/>
    <w:bookmarkStart w:id="48" w:name="обоснование-географических-границ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2.13 Обоснование географических границ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Территории оценены по данным двух сервисов и операционной реализуемости (таблица 23).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23 – Обоснование географических границ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572"/>
        <w:gridCol w:w="2050"/>
        <w:gridCol w:w="2093"/>
        <w:gridCol w:w="1947"/>
        <w:gridCol w:w="1691"/>
      </w:tblGrid>
      <w:tr>
        <w:tc>
          <w:tcPr>
            <w:tcW w:type="dxa" w:w="15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Территория</w:t>
            </w:r>
          </w:p>
        </w:tc>
        <w:tc>
          <w:tcPr>
            <w:tcW w:type="dxa" w:w="20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Данные</w:t>
            </w:r>
          </w:p>
        </w:tc>
        <w:tc>
          <w:tcPr>
            <w:tcW w:type="dxa" w:w="20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Реализуемость</w:t>
            </w:r>
          </w:p>
        </w:tc>
        <w:tc>
          <w:tcPr>
            <w:tcW w:type="dxa" w:w="19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Интерпретация</w:t>
            </w:r>
          </w:p>
        </w:tc>
        <w:tc>
          <w:tcPr>
            <w:tcW w:type="dxa" w:w="16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Решение</w:t>
            </w:r>
          </w:p>
        </w:tc>
      </w:tr>
      <w:tr>
        <w:tc>
          <w:tcPr>
            <w:tcW w:type="dxa" w:w="15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Минск</w:t>
            </w:r>
          </w:p>
        </w:tc>
        <w:tc>
          <w:tcPr>
            <w:tcW w:type="dxa" w:w="20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Google Trends и Вордстат по городам — 🔲 ДОСНЯТЬ</w:t>
            </w:r>
          </w:p>
        </w:tc>
        <w:tc>
          <w:tcPr>
            <w:tcW w:type="dxa" w:w="20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Высокая: личный контакт с вузами, пилот на своём курсе (допущение)</w:t>
            </w:r>
          </w:p>
        </w:tc>
        <w:tc>
          <w:tcPr>
            <w:tcW w:type="dxa" w:w="19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Концентрация вузов и ИТ-компаний</w:t>
            </w:r>
          </w:p>
        </w:tc>
        <w:tc>
          <w:tcPr>
            <w:tcW w:type="dxa" w:w="16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Тестовый рынок (S-01, S-04)</w:t>
            </w:r>
          </w:p>
        </w:tc>
      </w:tr>
      <w:tr>
        <w:tc>
          <w:tcPr>
            <w:tcW w:type="dxa" w:w="15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Областные центры РБ</w:t>
            </w:r>
          </w:p>
        </w:tc>
        <w:tc>
          <w:tcPr>
            <w:tcW w:type="dxa" w:w="20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20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Дистанционно, через вузы-партнёры</w:t>
            </w:r>
          </w:p>
        </w:tc>
        <w:tc>
          <w:tcPr>
            <w:tcW w:type="dxa" w:w="19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Вузы с ИТ-специальностями (🔲 ДОСНЯТЬ перечень)</w:t>
            </w:r>
          </w:p>
        </w:tc>
        <w:tc>
          <w:tcPr>
            <w:tcW w:type="dxa" w:w="16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Расширение внутри РБ</w:t>
            </w:r>
          </w:p>
        </w:tc>
      </w:tr>
      <w:tr>
        <w:tc>
          <w:tcPr>
            <w:tcW w:type="dxa" w:w="15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Республика Беларусь</w:t>
            </w:r>
          </w:p>
        </w:tc>
        <w:tc>
          <w:tcPr>
            <w:tcW w:type="dxa" w:w="20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5-е место в мире по PlantUML [1]</w:t>
            </w:r>
          </w:p>
        </w:tc>
        <w:tc>
          <w:tcPr>
            <w:tcW w:type="dxa" w:w="20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Онлайн-оказание, PWA, русский интерфейс</w:t>
            </w:r>
          </w:p>
        </w:tc>
        <w:tc>
          <w:tcPr>
            <w:tcW w:type="dxa" w:w="19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Подтверждённая относительная концентрация интереса</w:t>
            </w:r>
          </w:p>
        </w:tc>
        <w:tc>
          <w:tcPr>
            <w:tcW w:type="dxa" w:w="16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Основной рынок</w:t>
            </w:r>
          </w:p>
        </w:tc>
      </w:tr>
      <w:tr>
        <w:tc>
          <w:tcPr>
            <w:tcW w:type="dxa" w:w="15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Россия, Казахстан</w:t>
            </w:r>
          </w:p>
        </w:tc>
        <w:tc>
          <w:tcPr>
            <w:tcW w:type="dxa" w:w="20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Россия — 4-е место по PlantUML [1]; 1-я страна по трафику plantuml.com (9,07 %) [5]</w:t>
            </w:r>
          </w:p>
        </w:tc>
        <w:tc>
          <w:tcPr>
            <w:tcW w:type="dxa" w:w="20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Дистанционно; ограничения — оплата картами, правовая среда (допущение)</w:t>
            </w:r>
          </w:p>
        </w:tc>
        <w:tc>
          <w:tcPr>
            <w:tcW w:type="dxa" w:w="19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Крупный русскоязычный сегмент</w:t>
            </w:r>
          </w:p>
        </w:tc>
        <w:tc>
          <w:tcPr>
            <w:tcW w:type="dxa" w:w="16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Расширение после MVP</w:t>
            </w:r>
          </w:p>
        </w:tc>
      </w:tr>
      <w:tr>
        <w:tc>
          <w:tcPr>
            <w:tcW w:type="dxa" w:w="15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Англоязычный мир</w:t>
            </w:r>
          </w:p>
        </w:tc>
        <w:tc>
          <w:tcPr>
            <w:tcW w:type="dxa" w:w="20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text to diagram: Филиппины, Шри-Ланка, США, Кения, Непал [1]</w:t>
            </w:r>
          </w:p>
        </w:tc>
        <w:tc>
          <w:tcPr>
            <w:tcW w:type="dxa" w:w="20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Нужна английская локализация, другая конкуренция</w:t>
            </w:r>
          </w:p>
        </w:tc>
        <w:tc>
          <w:tcPr>
            <w:tcW w:type="dxa" w:w="19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Точка роста AI-сегмента</w:t>
            </w:r>
          </w:p>
        </w:tc>
        <w:tc>
          <w:tcPr>
            <w:tcW w:type="dxa" w:w="16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Проверить дополнительно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Граница рынка — пересечение трёх условий методики. Их выполнение для Беларуси:</w:t>
      </w:r>
    </w:p>
    <w:p>
      <w:pPr>
        <w:keepNext w:val="0"/>
        <w:numPr>
          <w:ilvl w:val="0"/>
          <w:numId w:val="100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Подтверждённый поисковый интерес — выполнено по мировому замеру: Беларусь входит в топ-5 по PlantUML при устойчивом росте категории. Нужно подтвердить по РБ (🔲 ДОСНЯТЬ).</w:t>
      </w:r>
    </w:p>
    <w:p>
      <w:pPr>
        <w:keepNext w:val="0"/>
        <w:numPr>
          <w:ilvl w:val="0"/>
          <w:numId w:val="100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Наличие коммерческих или продуктовых запросов — ожидаются запросы «онлайн», «программа для», «аналог» (🔲 ДОСНЯТЬ в Вордстате).</w:t>
      </w:r>
    </w:p>
    <w:p>
      <w:pPr>
        <w:keepNext w:val="0"/>
        <w:numPr>
          <w:ilvl w:val="0"/>
          <w:numId w:val="100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Способность обслуживать клиентов с приемлемыми затратами — выполнено: PWA, дистанционная модель, русский интерфейс, исполнитель находится в РБ.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Аргументация географии. В качестве первичной границы выбрана Республика Беларусь, поскольку по ней выявлен измеримый относительный интерес к категории. По данным Google Trends (весь мир, 5 лет, 17.09.2026) Беларусь входит в пятёрку из 71 страны по интересу к PlantUML — ближайшему аналогу NotaCode, а Россия занимает четвёртое место [1]. По Similarweb Россия — первая страна по трафику plantuml.com [5].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Коммерческая логика такова: продукт русскоязычный и дистанционный, первичный сегмент S-01 доступен через вузы, где IDEF0, DFD и BPMN входят в учебные программы (допущение). Учебная сезонность подтверждает заметную студенческую долю аудитории.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Ограничение: индекс Google Trends показывает относительную концентрацию, а не объём, и замер выполнен по миру. Дальше нужно оценить численность профильных студентов и ИТ-специалистов РБ, русскоязычные предложения конкурентов и точки входа — вузы и сообщества.</w:t>
      </w:r>
    </w:p>
    <w:bookmarkEnd w:id="48"/>
    <w:bookmarkStart w:id="49" w:name="X0812b5b4da89d6018f483d0835e374eccd30b2e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2.14 Вывод о наличии поискового интереса и оценочная матрица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Перспективность идеи оценена по шести критериям шаблона аргументации (0–3 балла) [6] (таблица 24).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24 – Оценочная матрица перспективности бизнес-идеи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61"/>
        <w:gridCol w:w="727"/>
        <w:gridCol w:w="5566"/>
      </w:tblGrid>
      <w:tr>
        <w:tc>
          <w:tcPr>
            <w:tcW w:type="dxa" w:w="30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Критерий</w:t>
            </w:r>
          </w:p>
        </w:tc>
        <w:tc>
          <w:tcPr>
            <w:tcW w:type="dxa" w:w="7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Балл</w:t>
            </w:r>
          </w:p>
        </w:tc>
        <w:tc>
          <w:tcPr>
            <w:tcW w:type="dxa" w:w="5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Обоснование</w:t>
            </w:r>
          </w:p>
        </w:tc>
      </w:tr>
      <w:tr>
        <w:tc>
          <w:tcPr>
            <w:tcW w:type="dxa" w:w="30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Выраженность интереса</w:t>
            </w:r>
          </w:p>
        </w:tc>
        <w:tc>
          <w:tcPr>
            <w:tcW w:type="dxa" w:w="7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5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Средний: PlantUML 32–41; нишевые нотационные запросы — 2–4</w:t>
            </w:r>
          </w:p>
        </w:tc>
      </w:tr>
      <w:tr>
        <w:tc>
          <w:tcPr>
            <w:tcW w:type="dxa" w:w="30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Динамика</w:t>
            </w:r>
          </w:p>
        </w:tc>
        <w:tc>
          <w:tcPr>
            <w:tcW w:type="dxa" w:w="7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Рост +94,2 %, наклон +0,758 п./мес., Breakout AI-запроса</w:t>
            </w:r>
          </w:p>
        </w:tc>
      </w:tr>
      <w:tr>
        <w:tc>
          <w:tcPr>
            <w:tcW w:type="dxa" w:w="30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Коммерческое намерение</w:t>
            </w:r>
          </w:p>
        </w:tc>
        <w:tc>
          <w:tcPr>
            <w:tcW w:type="dxa" w:w="7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5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Единичные сигналы («generator», «tool», «аналог»); транзакционные запросы не измерены</w:t>
            </w:r>
          </w:p>
        </w:tc>
      </w:tr>
      <w:tr>
        <w:tc>
          <w:tcPr>
            <w:tcW w:type="dxa" w:w="30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Географическая ясность</w:t>
            </w:r>
          </w:p>
        </w:tc>
        <w:tc>
          <w:tcPr>
            <w:tcW w:type="dxa" w:w="7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5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Есть предпочтительная территория (Беларусь — 5-е место, Россия — 4-е), но без данных по РБ и городам</w:t>
            </w:r>
          </w:p>
        </w:tc>
      </w:tr>
      <w:tr>
        <w:tc>
          <w:tcPr>
            <w:tcW w:type="dxa" w:w="30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Соответствие компетенции</w:t>
            </w:r>
          </w:p>
        </w:tc>
        <w:tc>
          <w:tcPr>
            <w:tcW w:type="dxa" w:w="7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Продукт — прямая реализация компетенции; MVP запланирован (эпики E1–E9)</w:t>
            </w:r>
          </w:p>
        </w:tc>
      </w:tr>
      <w:tr>
        <w:tc>
          <w:tcPr>
            <w:tcW w:type="dxa" w:w="30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Операционная реализуемость</w:t>
            </w:r>
          </w:p>
        </w:tc>
        <w:tc>
          <w:tcPr>
            <w:tcW w:type="dxa" w:w="7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5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Реализуемо дистанционно, но с ограничениями: объём DSL на 9 нотаций, срок MVP 06.12.2026</w:t>
            </w:r>
          </w:p>
        </w:tc>
      </w:tr>
      <w:tr>
        <w:tc>
          <w:tcPr>
            <w:tcW w:type="dxa" w:w="30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Итого</w:t>
            </w:r>
          </w:p>
        </w:tc>
        <w:tc>
          <w:tcPr>
            <w:tcW w:type="dxa" w:w="7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13 из 18</w:t>
            </w:r>
          </w:p>
        </w:tc>
        <w:tc>
          <w:tcPr>
            <w:tcW w:type="dxa" w:w="5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Полоса 10–14: уточнить сегмент, услугу или территорию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Итоговая аргументация по тезисам приведена в таблице 25.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25 – Итоговая аргументация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418"/>
        <w:gridCol w:w="2823"/>
        <w:gridCol w:w="1988"/>
        <w:gridCol w:w="2124"/>
      </w:tblGrid>
      <w:tr>
        <w:tc>
          <w:tcPr>
            <w:tcW w:type="dxa" w:w="24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Тезис</w:t>
            </w:r>
          </w:p>
        </w:tc>
        <w:tc>
          <w:tcPr>
            <w:tcW w:type="dxa" w:w="28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Доказательство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Ограничение</w:t>
            </w:r>
          </w:p>
        </w:tc>
        <w:tc>
          <w:tcPr>
            <w:tcW w:type="dxa" w:w="21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Следующее действие</w:t>
            </w:r>
          </w:p>
        </w:tc>
      </w:tr>
      <w:tr>
        <w:tc>
          <w:tcPr>
            <w:tcW w:type="dxa" w:w="24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Идея имеет признаки интереса</w:t>
            </w:r>
          </w:p>
        </w:tc>
        <w:tc>
          <w:tcPr>
            <w:tcW w:type="dxa" w:w="28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Рост PlantUML +94,2 %; Breakout «text to diagram ai»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Поисковый интерес не равен объёму рынка</w:t>
            </w:r>
          </w:p>
        </w:tc>
        <w:tc>
          <w:tcPr>
            <w:tcW w:type="dxa" w:w="21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Оценить TAM, SAM, SOM</w:t>
            </w:r>
          </w:p>
        </w:tc>
      </w:tr>
      <w:tr>
        <w:tc>
          <w:tcPr>
            <w:tcW w:type="dxa" w:w="24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Беларусь может быть первичным рынком</w:t>
            </w:r>
          </w:p>
        </w:tc>
        <w:tc>
          <w:tcPr>
            <w:tcW w:type="dxa" w:w="28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5-е место по PlantUML; дистанционная модель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Замер по миру</w:t>
            </w:r>
          </w:p>
        </w:tc>
        <w:tc>
          <w:tcPr>
            <w:tcW w:type="dxa" w:w="21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Google Trends и Вордстат по РБ и городам</w:t>
            </w:r>
          </w:p>
        </w:tc>
      </w:tr>
      <w:tr>
        <w:tc>
          <w:tcPr>
            <w:tcW w:type="dxa" w:w="24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Есть отдельные группы потребностей</w:t>
            </w:r>
          </w:p>
        </w:tc>
        <w:tc>
          <w:tcPr>
            <w:tcW w:type="dxa" w:w="28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Кластеры К2–К6, разные сегменты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Намерения не измерены частотностью</w:t>
            </w:r>
          </w:p>
        </w:tc>
        <w:tc>
          <w:tcPr>
            <w:tcW w:type="dxa" w:w="21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Топы Вордстата, сегментация</w:t>
            </w:r>
          </w:p>
        </w:tc>
      </w:tr>
      <w:tr>
        <w:tc>
          <w:tcPr>
            <w:tcW w:type="dxa" w:w="24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Есть основания для коммерческого предложения</w:t>
            </w:r>
          </w:p>
        </w:tc>
        <w:tc>
          <w:tcPr>
            <w:tcW w:type="dxa" w:w="28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Freemium 0 / 4 USD; бесплатные заменители задают ценовой потолок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Готовность платить не проверена</w:t>
            </w:r>
          </w:p>
        </w:tc>
        <w:tc>
          <w:tcPr>
            <w:tcW w:type="dxa" w:w="21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Опрос сегментов, тест посадочной страницы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Итоговый вывод по идее и территории. На основании анализа поискового интереса в Google Trends выбрана бизнес-идея NotaCode — онлайн-IDE для построения диаграмм формальных нотаций как кода с проверкой правил нотации. Идея основана на компетенции разработки инструментов моделирования ПО. Она ориентирована на студентов технических специальностей, аналитиков и архитекторов ПО.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Выбор обоснован ростом интереса к ближайшему аналогу PlantUML на 94,2 % и повторяемой учебной сезонностью с пиком в марте и минимумом в августе. Кроме того, связанный запрос «text to diagram ai» имеет статус Breakout. Классические генераторы нотаций остаются на плато, а генерация по тексту растёт. Это говорит о спросе на решения, которые избавляют от ручного построения диаграмм.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Первичная географическая граница — Республика Беларусь: она входит в пятёрку стран по интересу к PlantUML, а обслуживание возможно дистанционно через PWA на русском языке. Идея предварительно обоснована, но с сужением: Вордстат и данные по Беларуси нужно дособрать, коммерческое намерение подтверждено слабо.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Итоговое решение — сузить. Главное обещание MVP — строгие нотации (IDEF0, IDEF3, DFD, BPMN, ERD) как код с проверкой правил. Первичный сегмент — S-01 со входом через Free. AI-генерация переносится на второй этап, прямой конкуренции с PlantUML и Mermaid по UML нужно избегать.</w:t>
      </w:r>
    </w:p>
    <w:bookmarkEnd w:id="49"/>
    <w:bookmarkStart w:id="50" w:name="ограничения-анализа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2.15 Ограничения анализа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Ограничения анализа: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Google Trends показывает относительный индекс 0–100, нормированный по выбранным периоду, территории и набору терминов, а не число запросов, пользователей или клиентов [2].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Ряд Google Trends снят по миру, а не по Беларуси; выводы о Беларуси опираются на региональный рейтинг (🔲 ДОСНЯТЬ).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Помесячный ряд взят по первой неделе месяца; внутримесячные эффекты (спад последней недели декабря) учитываются отдельно.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Для PlantUML записан только порядок стран, без значений индекса.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CSV-исходники Google Trends не сохранены: значения переписаны с графика (🔲 ДОСНЯТЬ).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Яндекс Вордстат не собран, поэтому сравнение двух источников неполное.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PlantUML — прокси категории; после запуска NotaCode анализ нужно повторить по бренду.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Шаблон с трейлинговым скользящим средним завышает циклический коэффициент в растущем ряду.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Циклические выводы описывают поисковый цикл спроса, а не макроэкономический деловой цикл.</w:t>
      </w:r>
    </w:p>
    <w:bookmarkEnd w:id="50"/>
    <w:bookmarkStart w:id="51" w:name="коммерческий-переход-к-анализу-рынка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2.16 Коммерческий переход к анализу рынка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Первичный анализ поискового интереса показывает, что аудитория интересуется направлением «diagram as code» и инструментами построения диаграмм формальных нотаций. Интерес растёт и имеет учебную сезонность. Регулярные запросы «PlantUML», «text to diagram» и «diagram as code» свидетельствуют о потребности в текстовом построении диаграмм. Однако поискового интереса недостаточно для запуска: он лишь создаёт основание для исследования рынка.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Исследование рынка должно включать:</w:t>
      </w:r>
    </w:p>
    <w:p>
      <w:pPr>
        <w:keepNext w:val="0"/>
        <w:numPr>
          <w:ilvl w:val="0"/>
          <w:numId w:val="1005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оценку численности сегментов S-01…S-03 в Беларуси и СНГ (Белстат, Минобразования, ПВТ) и объёма рынка по трафику конкурентов (ЛР2–3);</w:t>
      </w:r>
    </w:p>
    <w:p>
      <w:pPr>
        <w:keepNext w:val="0"/>
        <w:numPr>
          <w:ilvl w:val="0"/>
          <w:numId w:val="1005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анализ конкурентных сил и барьеров (ЛР4);</w:t>
      </w:r>
    </w:p>
    <w:p>
      <w:pPr>
        <w:keepNext w:val="0"/>
        <w:numPr>
          <w:ilvl w:val="0"/>
          <w:numId w:val="1005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позиционирование против PlantUML, Mermaid, draw.io и Camunda (ЛР5);</w:t>
      </w:r>
    </w:p>
    <w:p>
      <w:pPr>
        <w:keepNext w:val="0"/>
        <w:numPr>
          <w:ilvl w:val="0"/>
          <w:numId w:val="1005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ценностное предложение, модель дохода Free/Pro и план релизов (ЛР6).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Цель — установить, превращается ли интерес в устойчивый платёжеспособный спрос на тариф Pro. Зафиксированные границы позволяют посчитать объём рынка «снизу вверх»: число потенциальных пользователей × доля конверсии Free → Pro × 40 USD в год. Дополнительно нужно оценить конкурентную насыщенность, стоимость привлечения через поиск и сообщества и реалистичную долю нового продукта.</w:t>
      </w:r>
    </w:p>
    <w:bookmarkEnd w:id="51"/>
    <w:bookmarkEnd w:id="52"/>
    <w:bookmarkStart w:id="53" w:name="ответы-на-контрольные-вопросы"/>
    <w:p>
      <w:pPr>
        <w:pStyle w:val="Heading1"/>
        <w:keepNext/>
        <w:pageBreakBefore/>
        <w:spacing w:before="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3 ОТВЕТЫ НА КОНТРОЛЬНЫЕ ВОПРОСЫ</w:t>
      </w:r>
    </w:p>
    <w:p>
      <w:pPr>
        <w:keepNext w:val="0"/>
        <w:numPr>
          <w:ilvl w:val="0"/>
          <w:numId w:val="1006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Бизнес-идея сформулирована как коммерческое предложение: веб-IDE NotaCode с тарифами Free и Pro (4 USD в месяц) для конкретных сегментов S-01…S-03, а не как компетенция «разработка ПО» (подраздел 2.2).</w:t>
      </w:r>
    </w:p>
    <w:p>
      <w:pPr>
        <w:keepNext w:val="0"/>
        <w:numPr>
          <w:ilvl w:val="0"/>
          <w:numId w:val="1006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Семантическое ядро составлено: 50 запросов в 10 кластерах, разделённых на информационные, проблемные, инструментальные, транзакционные, региональные и сравнительные (подраздел 2.4, приложение А).</w:t>
      </w:r>
    </w:p>
    <w:p>
      <w:pPr>
        <w:keepNext w:val="0"/>
        <w:numPr>
          <w:ilvl w:val="0"/>
          <w:numId w:val="1006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Ключевые запросы проверены в Google Trends при единых настройках: весь мир, 5 лет, все категории, веб-поиск. Проверка по Беларуси подготовлена (пакеты П1–П5), но не выполнена (🔲 ДОСНЯТЬ).</w:t>
      </w:r>
    </w:p>
    <w:p>
      <w:pPr>
        <w:keepNext w:val="0"/>
        <w:numPr>
          <w:ilvl w:val="0"/>
          <w:numId w:val="1006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Сопоставимые запросы в Вордстате не проверены, так как нужен личный вход в Яндекс ID. Список запросов, операторы и формы подготовлены (подраздел 2.6).</w:t>
      </w:r>
    </w:p>
    <w:p>
      <w:pPr>
        <w:keepNext w:val="0"/>
        <w:numPr>
          <w:ilvl w:val="0"/>
          <w:numId w:val="1006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Настройки зафиксированы в протоколе и журнале выгрузки (таблица 9, таблица Б.5). Ряд сохранён в рабочей книге; CSV нужно скачать повторно (🔲 ДОСНЯТЬ).</w:t>
      </w:r>
    </w:p>
    <w:p>
      <w:pPr>
        <w:keepNext w:val="0"/>
        <w:numPr>
          <w:ilvl w:val="0"/>
          <w:numId w:val="1006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Построен помесячный ряд из 40 наблюдений, пригодный для оценки тренда и сезонности (не менее 24 и 36 месяцев соответственно).</w:t>
      </w:r>
    </w:p>
    <w:p>
      <w:pPr>
        <w:keepNext w:val="0"/>
        <w:numPr>
          <w:ilvl w:val="0"/>
          <w:numId w:val="1006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Устойчивый тренд (+94,2 %) отделён от сезонных пиков (март, ноябрь) и разового провала августа 2026 г., который исключён как артефакт неполной недели.</w:t>
      </w:r>
    </w:p>
    <w:p>
      <w:pPr>
        <w:keepNext w:val="0"/>
        <w:numPr>
          <w:ilvl w:val="0"/>
          <w:numId w:val="1006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Циклические отклонения проверены по формуле (10). Дополнительно выполнена поправка на отставание трейлингового скользящего среднего (таблица 18).</w:t>
      </w:r>
    </w:p>
    <w:p>
      <w:pPr>
        <w:keepNext w:val="0"/>
        <w:numPr>
          <w:ilvl w:val="0"/>
          <w:numId w:val="1006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Различие соблюдено: Google Trends даёт относительный индекс, Вордстат — частотность аудитории Яндекса, а объём рынка оценивается в ЛР2–3.</w:t>
      </w:r>
    </w:p>
    <w:p>
      <w:pPr>
        <w:keepNext w:val="0"/>
        <w:numPr>
          <w:ilvl w:val="0"/>
          <w:numId w:val="1006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Географические границы обоснованы данными (Беларусь — 5-е место, Россия — 4-е по PlantUML, трафик plantuml.com) и операционной реализуемостью (подраздел 2.13).</w:t>
      </w:r>
    </w:p>
    <w:p>
      <w:pPr>
        <w:keepNext w:val="0"/>
        <w:numPr>
          <w:ilvl w:val="0"/>
          <w:numId w:val="1006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Зафиксированы все шесть видов границ: продуктовые, клиентские, географические, канальные, семантические и конкурентные (таблица 22).</w:t>
      </w:r>
    </w:p>
    <w:p>
      <w:pPr>
        <w:keepNext w:val="0"/>
        <w:numPr>
          <w:ilvl w:val="0"/>
          <w:numId w:val="1006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Паспорт границ пригоден для анализа конкурентов, целевой аудитории и модели дохода: в нём названы сегменты, заменители, каналы и исключения.</w:t>
      </w:r>
    </w:p>
    <w:p>
      <w:pPr>
        <w:keepNext w:val="0"/>
        <w:numPr>
          <w:ilvl w:val="0"/>
          <w:numId w:val="1006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Анализируемый рынок однозначен и не слишком широк: онлайн-инструменты текстового моделирования формальных нотаций, а не «рынок диаграмм».</w:t>
      </w:r>
    </w:p>
    <w:p>
      <w:pPr>
        <w:keepNext w:val="0"/>
        <w:numPr>
          <w:ilvl w:val="0"/>
          <w:numId w:val="1006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Клиентские сегменты определены конкретно: студенты технических специальностей, бизнес- и системные аналитики, архитекторы ПО и преподаватели как канал.</w:t>
      </w:r>
    </w:p>
    <w:p>
      <w:pPr>
        <w:keepNext w:val="0"/>
        <w:numPr>
          <w:ilvl w:val="0"/>
          <w:numId w:val="1006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Заменители учтены по шести типам: прямые конкуренты, частичные, внутренние, самостоятельные решения, цифровые сервисы и обучение (таблица 21).</w:t>
      </w:r>
    </w:p>
    <w:p>
      <w:pPr>
        <w:keepNext w:val="0"/>
        <w:numPr>
          <w:ilvl w:val="0"/>
          <w:numId w:val="1006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Границы связаны с результатами Google Trends и анализом динамики. Сезонность подтвердила студенческий сегмент, региональный срез — географию. Связь с Вордстатом появится после досбора.</w:t>
      </w:r>
    </w:p>
    <w:p>
      <w:pPr>
        <w:keepNext w:val="0"/>
        <w:numPr>
          <w:ilvl w:val="0"/>
          <w:numId w:val="1006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Для анализа конкурентов и объёма рынка будут использованы Similarweb (методика оценки объёма по трафику), сайты конкурентов, данные Белстата и ПВТ.</w:t>
      </w:r>
    </w:p>
    <w:p>
      <w:pPr>
        <w:keepNext w:val="0"/>
        <w:numPr>
          <w:ilvl w:val="0"/>
          <w:numId w:val="1006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Переход к дальнейшему изучению рынка сформулирован без утверждений о гарантированном успехе (подраздел 2.16).</w:t>
      </w:r>
    </w:p>
    <w:bookmarkEnd w:id="53"/>
    <w:bookmarkStart w:id="54" w:name="выводы"/>
    <w:p>
      <w:pPr>
        <w:pStyle w:val="Heading1"/>
        <w:keepNext/>
        <w:pageBreakBefore/>
        <w:spacing w:before="0" w:after="36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ВЫВОДЫ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 ходе работы компетенция в разработке инструментов моделирования ПО переведена в коммерческую бизнес-идею NotaCode. Это веб-IDE класса «diagram as code» для формальных нотаций с проверкой правил нотации, версионированием и экспортом в стандартные форматы, распространяемая по freemium-модели (Free / Pro 4 USD в месяц). Паспорт бизнес-гипотезы, включая гипотезу о территории, заполнен до анализа данных. Составлено семантическое ядро из 50 запросов на русском и английском языках в 10 кластерах. Выделены исключаемые запросы (рефераты, вакансии, курсы, пиратство) и пять пакетов для сравнения в Google Trends.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Анализ реального ряда Google Trends за 40 месяцев по PlantUML — ближайшему измеримому аналогу категории — показал устойчивый растущий тренд. Средний индекс последних 12 месяцев (44,33) на 94,2 % выше первых 12 (22,83), наклон линейного тренда +0,758 пункта в месяц, рост наблюдается в каждом году. Сезонность умеренная (амплитуда 0,298) и имеет учебный рисунок: максимум в марте, минимум в августе, спад в последнюю неделю декабря, повторяется три года подряд. У запроса «text to diagram» сезонность выраженная (амплитуда 0,733). Практическое следствие — запускать кампании в феврале и сентябре, первая кампания после MVP — февраль 2027 г.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Шаблон показывает текущую фазу «выше тренда» (K = 1,228). Контрольный расчёт с центрированным скользящим средним показал, что это следствие отставания трейлингового тренда в растущем ряду: после поправки 24 из 28 месяцев находятся в норме, выраженных циклических спадов нет. Связанный запрос «text to diagram ai» имеет статус Breakout, а классические генераторы нотаций остаются на плато. Это указывает на смещение спроса к генерации диаграмм по тексту.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Паспорт границ рынка зафиксирован по шести видам. Рынок определён как рынок онлайн-инструментов текстового моделирования диаграмм формальных нотаций для студентов технических специальностей, аналитиков и архитекторов ПО Республики Беларусь с расширением на русскоязычное СНГ. Выбор Беларуси как основного рынка опирается на её пятое место в мире по интересу к PlantUML, четвёртое место России и дистанционную модель обслуживания. Минск выбран тестовым рынком.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Оценочная матрица дала 13 баллов из 18, поэтому принято решение сузить позиционирование первого релиза. Главное обещание — строгие нотации (IDEF0, IDEF3, DFD, BPMN, ERD) как код с проверкой правил для первичного сегмента студентов; AI-генерация — второй этап. Выводы ограничены тем, что Google Trends показывает относительный интерес по миру, а данные Яндекс Вордстат и Google Trends по Беларуси ещё не собраны (🔲 ДОСНЯТЬ). После досбора нужно уточнить коммерческое намерение и географическую ясность и перейти к оценке объёма рынка, анализу конкурентов и модели дохода.</w:t>
      </w:r>
    </w:p>
    <w:bookmarkEnd w:id="54"/>
    <w:bookmarkStart w:id="55" w:name="список-использованных-источников"/>
    <w:p>
      <w:pPr>
        <w:pStyle w:val="Heading1"/>
        <w:keepNext/>
        <w:pageBreakBefore/>
        <w:spacing w:before="0" w:after="36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СПИСОК ИСПОЛЬЗОВАННЫХ ИСТОЧНИКОВ</w:t>
      </w:r>
    </w:p>
    <w:p>
      <w:pPr>
        <w:keepNext w:val="0"/>
        <w:numPr>
          <w:ilvl w:val="0"/>
          <w:numId w:val="1007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Google Trends [Электронный ресурс]. – Режим доступа: https://trends.google.com/trends/. – Дата доступа: 17.09.2026.</w:t>
      </w:r>
    </w:p>
    <w:p>
      <w:pPr>
        <w:keepNext w:val="0"/>
        <w:numPr>
          <w:ilvl w:val="0"/>
          <w:numId w:val="1007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Google Trends Help. FAQ about Google Trends data [Электронный ресурс]. – Режим доступа: https://support.google.com/trends/answer/4365533. – Дата доступа: 25.09.2026.</w:t>
      </w:r>
    </w:p>
    <w:p>
      <w:pPr>
        <w:keepNext w:val="0"/>
        <w:numPr>
          <w:ilvl w:val="0"/>
          <w:numId w:val="1007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Яндекс Вордстат [Электронный ресурс]. – Режим доступа: https://wordstat.yandex.ru/. – Дата доступа: 🔲 ДОСНЯТЬ.</w:t>
      </w:r>
    </w:p>
    <w:p>
      <w:pPr>
        <w:keepNext w:val="0"/>
        <w:numPr>
          <w:ilvl w:val="0"/>
          <w:numId w:val="1007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Яндекс Справка. Вордстат [Электронный ресурс]. – Режим доступа: https://yandex.ru/support2/wordstat/. – Дата доступа: 🔲 ДОСНЯТЬ.</w:t>
      </w:r>
    </w:p>
    <w:p>
      <w:pPr>
        <w:keepNext w:val="0"/>
        <w:numPr>
          <w:ilvl w:val="0"/>
          <w:numId w:val="1007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Similarweb. Анализ трафика сайтов plantuml.com, mermaidchart.com, eraser.io, app.diagrams.net [Электронный ресурс]. – Режим доступа: https://www.similarweb.com/. – Дата доступа: 23.09.2026.</w:t>
      </w:r>
    </w:p>
    <w:p>
      <w:pPr>
        <w:keepNext w:val="0"/>
        <w:numPr>
          <w:ilvl w:val="0"/>
          <w:numId w:val="1007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Методические материалы к лабораторной работе № 1 по дисциплине «Электронный бизнес» : инструкции по Google Trends, Яндекс Вордстат, выгрузке данных, оценке тренда, сезонности и циклов, фиксации границ рынка; Excel-шаблон. – 2026.</w:t>
      </w:r>
    </w:p>
    <w:p>
      <w:pPr>
        <w:keepNext w:val="0"/>
        <w:numPr>
          <w:ilvl w:val="0"/>
          <w:numId w:val="1007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Концепция проекта NotaCode : рабочий документ, версия 0.1. – 23.09.2026.</w:t>
      </w:r>
    </w:p>
    <w:p>
      <w:pPr>
        <w:keepNext w:val="0"/>
        <w:numPr>
          <w:ilvl w:val="0"/>
          <w:numId w:val="1007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Анализ рынка и аналогов (diagram-as-code и редакторы диаграмм) : рабочий документ проекта. – 17.09.2026.</w:t>
      </w:r>
    </w:p>
    <w:p>
      <w:pPr>
        <w:keepNext w:val="0"/>
        <w:numPr>
          <w:ilvl w:val="0"/>
          <w:numId w:val="1007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European Commission. Commission Notice on the definition of the relevant market for the purposes of Union competition law [Электронный ресурс]. – Режим доступа: https://competition-policy.ec.europa.eu/. – Дата доступа: 25.09.2026.</w:t>
      </w:r>
    </w:p>
    <w:p>
      <w:pPr>
        <w:keepNext w:val="0"/>
        <w:numPr>
          <w:ilvl w:val="0"/>
          <w:numId w:val="1007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U.S. Department of Justice, Federal Trade Commission. Merger Guidelines 2023 [Электронный ресурс]. – Режим доступа: https://www.justice.gov/atr/merger-guidelines. – Дата доступа: 25.09.2026.</w:t>
      </w:r>
    </w:p>
    <w:p>
      <w:pPr>
        <w:keepNext w:val="0"/>
        <w:numPr>
          <w:ilvl w:val="0"/>
          <w:numId w:val="1007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OECD. Market Definition in Multi-Sided Markets, 2017 [Электронный ресурс]. – Режим доступа: https://www.oecd.org/. – Дата доступа: 25.09.2026.</w:t>
      </w:r>
    </w:p>
    <w:p>
      <w:pPr>
        <w:keepNext w:val="0"/>
        <w:numPr>
          <w:ilvl w:val="0"/>
          <w:numId w:val="1007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UK Competition and Markets Authority. Digital Markets Competition Regime Guidance [Электронный ресурс]. – Режим доступа: https://www.gov.uk/cma. – Дата доступа: 25.09.2026.</w:t>
      </w:r>
    </w:p>
    <w:bookmarkEnd w:id="55"/>
    <w:bookmarkStart w:id="56" w:name="X1d9f61b7b842e7b03e14a7151e1f901b449317f"/>
    <w:p>
      <w:pPr>
        <w:pStyle w:val="Heading1"/>
        <w:keepNext w:val="0"/>
        <w:pageBreakBefore/>
        <w:spacing w:before="0" w:after="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ПРИЛОЖЕНИЕ А</w:t>
      </w: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>(обязательное)</w:t>
      </w:r>
    </w:p>
    <w:p>
      <w:pPr>
        <w:keepNext w:val="0"/>
        <w:spacing w:before="0" w:after="36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Реестр запросов семантического ядра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Показатели интереса измерены только там, где указано значение Google Trends: средний индекс за 5 лет по миру, замер 17.09.2026 [1]. Остальные значения заполняются после выгрузки по Беларуси и из Вордстата.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Сокращения типа намерения: И – информационное; П – проблемное; У – инструментальное; Т – транзакционное; Р – региональное; С – сравнительное. Этапы воронки: 1 – осознание потребности; 2 – осознание проблемы; 3 – сравнение решений; 4 – выбор инструмента.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А.1 – Реестр запросов семантического ядра</w:t>
      </w:r>
    </w:p>
    <w:tbl>
      <w:tblPr>
        <w:jc w:val="center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/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№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Кластер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Запрос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Язык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Намерение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Этап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Сегмент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Интерес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Приоритет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К1 Diagram as code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diagram as code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en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И/У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GT 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диаграммы как код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текстовое описание диаграммы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редактор диаграмм онлайн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все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diagram editor online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en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все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К2 IDEF0, IDEF3, DFD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IDEF0 онлайн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S-01, S-02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Очень высокий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IDEF0 диаграмма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И/У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программа для IDEF0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S-01, S-02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Очень высокий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ramus аналог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IDEF3 онлайн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DFD диаграмма онлайн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S-01, S-02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idef0 diagram online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en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К3 BPMN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BPMN редактор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Очень высокий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BPMN онлайн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S-02, S-01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нотация BPMN 2.0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bpmn modeler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en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camunda modeler аналог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bpmn diagram tool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en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К4 ERD, IDEF1X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 диаграмма онлайн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S-01, S-03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Очень высокий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построить ER диаграмму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ERD tool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en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GT 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 diagram online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en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S-01, S-03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dbdiagram аналог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IDEF1X онлайн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К5 UML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UML онлайн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S-01, S-03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Очень высокий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UML диаграмма классов онлайн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диаграмма последовательности онлайн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S-01, S-03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use case диаграмма онлайн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UML diagram generator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en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GT 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uml online editor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en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К6 Аналоги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en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GT 41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 online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en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 аналог / plantuml alternative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ru/en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Очень высокий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mermaid diagram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en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GT 2 (Mermaid.js)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mermaid alternative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en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draw.io аналог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все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d2 diagram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en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К7 Проблемные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нарисовать диаграмму онлайн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П/У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как построить диаграмму IDEF0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ошибки в диаграмме IDEF0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S-01, S-04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how to version control diagrams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en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диаграмма для курсовой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К8 AI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text to diagram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en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S-03, S-01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GT 26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text to diagram ai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en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Breakout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ai diagram generator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en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все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нейросеть для диаграмм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К9 Коммерческие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программа для диаграмм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все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visual paradigm цена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S-02, S-03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enterprise architect цена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К10 Региональные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uml онлайн на русском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</w:tr>
    </w:tbl>
    <w:bookmarkEnd w:id="56"/>
    <w:bookmarkStart w:id="57" w:name="Xc3a191a508a2f8712058e42525cb3c0d2f0c159"/>
    <w:p>
      <w:pPr>
        <w:pStyle w:val="Heading1"/>
        <w:keepNext w:val="0"/>
        <w:pageBreakBefore/>
        <w:spacing w:before="0" w:after="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ПРИЛОЖЕНИЕ Б</w:t>
      </w: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>(обязательное)</w:t>
      </w:r>
    </w:p>
    <w:p>
      <w:pPr>
        <w:keepNext w:val="0"/>
        <w:spacing w:before="0" w:after="36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Рабочие таблицы Google Trends, Яндекс Вордстат и журнал выгрузки</w:t>
      </w:r>
    </w:p>
    <w:p>
      <w:pPr>
        <w:pStyle w:val="FirstParagraph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Б.1 – Фиксация данных Google Trends (весь мир, 5 лет, все категории, веб-поиск)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91"/>
        <w:gridCol w:w="933"/>
        <w:gridCol w:w="1339"/>
        <w:gridCol w:w="1510"/>
        <w:gridCol w:w="1297"/>
        <w:gridCol w:w="1403"/>
        <w:gridCol w:w="1677"/>
      </w:tblGrid>
      <w:tr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Запрос</w:t>
            </w:r>
          </w:p>
        </w:tc>
        <w:tc>
          <w:tcPr>
            <w:tcW w:type="dxa" w:w="9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Средний индекс</w:t>
            </w:r>
          </w:p>
        </w:tc>
        <w:tc>
          <w:tcPr>
            <w:tcW w:type="dxa" w:w="13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Пик</w:t>
            </w:r>
          </w:p>
        </w:tc>
        <w:tc>
          <w:tcPr>
            <w:tcW w:type="dxa" w:w="15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Тренд</w:t>
            </w:r>
          </w:p>
        </w:tc>
        <w:tc>
          <w:tcPr>
            <w:tcW w:type="dxa" w:w="12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Сезонность</w:t>
            </w:r>
          </w:p>
        </w:tc>
        <w:tc>
          <w:tcPr>
            <w:tcW w:type="dxa" w:w="14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Связанные запросы</w:t>
            </w:r>
          </w:p>
        </w:tc>
        <w:tc>
          <w:tcPr>
            <w:tcW w:type="dxa" w:w="16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Вывод для NotaCode</w:t>
            </w:r>
          </w:p>
        </w:tc>
      </w:tr>
      <w:tr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</w:t>
            </w:r>
          </w:p>
        </w:tc>
        <w:tc>
          <w:tcPr>
            <w:tcW w:type="dxa" w:w="9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41 за 5 лет; 32,10 за 40 месяцев</w:t>
            </w:r>
          </w:p>
        </w:tc>
        <w:tc>
          <w:tcPr>
            <w:tcW w:type="dxa" w:w="13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53 (2024-12); в 2026 г. — до 80–100 по графику</w:t>
            </w:r>
          </w:p>
        </w:tc>
        <w:tc>
          <w:tcPr>
            <w:tcW w:type="dxa" w:w="15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Рост +94,2 %</w:t>
            </w:r>
          </w:p>
        </w:tc>
        <w:tc>
          <w:tcPr>
            <w:tcW w:type="dxa" w:w="12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Умеренная</w:t>
            </w:r>
          </w:p>
        </w:tc>
        <w:tc>
          <w:tcPr>
            <w:tcW w:type="dxa" w:w="14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Недостаточно данных</w:t>
            </w:r>
          </w:p>
        </w:tc>
        <w:tc>
          <w:tcPr>
            <w:tcW w:type="dxa" w:w="16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Категория растёт, есть база для входа</w:t>
            </w:r>
          </w:p>
        </w:tc>
      </w:tr>
      <w:tr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text to diagram</w:t>
            </w:r>
          </w:p>
        </w:tc>
        <w:tc>
          <w:tcPr>
            <w:tcW w:type="dxa" w:w="9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26</w:t>
            </w:r>
          </w:p>
        </w:tc>
        <w:tc>
          <w:tcPr>
            <w:tcW w:type="dxa" w:w="13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15 (2022-02); с середины 2025 г. — 50–100</w:t>
            </w:r>
          </w:p>
        </w:tc>
        <w:tc>
          <w:tcPr>
            <w:tcW w:type="dxa" w:w="15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Стабильный в 2021–2024 гг. (−1,0 %), затем сдвиг вверх</w:t>
            </w:r>
          </w:p>
        </w:tc>
        <w:tc>
          <w:tcPr>
            <w:tcW w:type="dxa" w:w="12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Выраженная</w:t>
            </w:r>
          </w:p>
        </w:tc>
        <w:tc>
          <w:tcPr>
            <w:tcW w:type="dxa" w:w="14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text to diagram ai — Breakout</w:t>
            </w:r>
          </w:p>
        </w:tc>
        <w:tc>
          <w:tcPr>
            <w:tcW w:type="dxa" w:w="16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Точка роста — генерация по тексту</w:t>
            </w:r>
          </w:p>
        </w:tc>
      </w:tr>
      <w:tr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diagram as code</w:t>
            </w:r>
          </w:p>
        </w:tc>
        <w:tc>
          <w:tcPr>
            <w:tcW w:type="dxa" w:w="9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3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5–11 (конец 2025 — начало 2026)</w:t>
            </w:r>
          </w:p>
        </w:tc>
        <w:tc>
          <w:tcPr>
            <w:tcW w:type="dxa" w:w="15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Медленный рост с уровня около 2</w:t>
            </w:r>
          </w:p>
        </w:tc>
        <w:tc>
          <w:tcPr>
            <w:tcW w:type="dxa" w:w="12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оценивается</w:t>
            </w:r>
          </w:p>
        </w:tc>
        <w:tc>
          <w:tcPr>
            <w:tcW w:type="dxa" w:w="14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tcPr>
            <w:tcW w:type="dxa" w:w="16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Термин позиционирования</w:t>
            </w:r>
          </w:p>
        </w:tc>
      </w:tr>
      <w:tr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Mermaid.js</w:t>
            </w:r>
          </w:p>
        </w:tc>
        <w:tc>
          <w:tcPr>
            <w:tcW w:type="dxa" w:w="9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13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 6</w:t>
            </w:r>
          </w:p>
        </w:tc>
        <w:tc>
          <w:tcPr>
            <w:tcW w:type="dxa" w:w="15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Плато</w:t>
            </w:r>
          </w:p>
        </w:tc>
        <w:tc>
          <w:tcPr>
            <w:tcW w:type="dxa" w:w="12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tcPr>
            <w:tcW w:type="dxa" w:w="14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tcPr>
            <w:tcW w:type="dxa" w:w="16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Нужна тема «Mermaid» (🔲 ДОСНЯТЬ)</w:t>
            </w:r>
          </w:p>
        </w:tc>
      </w:tr>
      <w:tr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UML diagram generator</w:t>
            </w:r>
          </w:p>
        </w:tc>
        <w:tc>
          <w:tcPr>
            <w:tcW w:type="dxa" w:w="9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13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 6</w:t>
            </w:r>
          </w:p>
        </w:tc>
        <w:tc>
          <w:tcPr>
            <w:tcW w:type="dxa" w:w="15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Плато</w:t>
            </w:r>
          </w:p>
        </w:tc>
        <w:tc>
          <w:tcPr>
            <w:tcW w:type="dxa" w:w="12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tcPr>
            <w:tcW w:type="dxa" w:w="14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tcPr>
            <w:tcW w:type="dxa" w:w="16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Классические генераторы не растут</w:t>
            </w:r>
          </w:p>
        </w:tc>
      </w:tr>
      <w:tr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ERD tool</w:t>
            </w:r>
          </w:p>
        </w:tc>
        <w:tc>
          <w:tcPr>
            <w:tcW w:type="dxa" w:w="9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3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 6</w:t>
            </w:r>
          </w:p>
        </w:tc>
        <w:tc>
          <w:tcPr>
            <w:tcW w:type="dxa" w:w="15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Плато</w:t>
            </w:r>
          </w:p>
        </w:tc>
        <w:tc>
          <w:tcPr>
            <w:tcW w:type="dxa" w:w="12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tcPr>
            <w:tcW w:type="dxa" w:w="14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tcPr>
            <w:tcW w:type="dxa" w:w="16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 же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Б.2 – Балльная оценка направлений (1/3/5 баллов)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257"/>
        <w:gridCol w:w="1067"/>
        <w:gridCol w:w="877"/>
        <w:gridCol w:w="972"/>
        <w:gridCol w:w="1162"/>
        <w:gridCol w:w="1352"/>
        <w:gridCol w:w="1162"/>
        <w:gridCol w:w="1502"/>
      </w:tblGrid>
      <w:tr>
        <w:tc>
          <w:tcPr>
            <w:tcW w:type="dxa" w:w="12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Направление</w:t>
            </w:r>
          </w:p>
        </w:tc>
        <w:tc>
          <w:tcPr>
            <w:tcW w:type="dxa" w:w="10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Интерес</w:t>
            </w:r>
          </w:p>
        </w:tc>
        <w:tc>
          <w:tcPr>
            <w:tcW w:type="dxa" w:w="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Динамика</w:t>
            </w:r>
          </w:p>
        </w:tc>
        <w:tc>
          <w:tcPr>
            <w:tcW w:type="dxa" w:w="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Намерение</w:t>
            </w:r>
          </w:p>
        </w:tc>
        <w:tc>
          <w:tcPr>
            <w:tcW w:type="dxa" w:w="11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Компетенция</w:t>
            </w:r>
          </w:p>
        </w:tc>
        <w:tc>
          <w:tcPr>
            <w:tcW w:type="dxa" w:w="13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Реализуемость</w:t>
            </w:r>
          </w:p>
        </w:tc>
        <w:tc>
          <w:tcPr>
            <w:tcW w:type="dxa" w:w="11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Сумма</w:t>
            </w:r>
          </w:p>
        </w:tc>
        <w:tc>
          <w:tcPr>
            <w:tcW w:type="dxa" w:w="15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Решение</w:t>
            </w:r>
          </w:p>
        </w:tc>
      </w:tr>
      <w:tr>
        <w:tc>
          <w:tcPr>
            <w:tcW w:type="dxa" w:w="12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Diagram as code для UML и ERD</w:t>
            </w:r>
          </w:p>
        </w:tc>
        <w:tc>
          <w:tcPr>
            <w:tcW w:type="dxa" w:w="10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1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3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1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19</w:t>
            </w:r>
          </w:p>
        </w:tc>
        <w:tc>
          <w:tcPr>
            <w:tcW w:type="dxa" w:w="15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Доработать позиционирование</w:t>
            </w:r>
          </w:p>
        </w:tc>
      </w:tr>
      <w:tr>
        <w:tc>
          <w:tcPr>
            <w:tcW w:type="dxa" w:w="12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IDEF0, IDEF3, DFD онлайн с валидацией</w:t>
            </w:r>
          </w:p>
        </w:tc>
        <w:tc>
          <w:tcPr>
            <w:tcW w:type="dxa" w:w="10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(1–3, допущение)</w:t>
            </w:r>
          </w:p>
        </w:tc>
        <w:tc>
          <w:tcPr>
            <w:tcW w:type="dxa" w:w="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1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3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1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17–19 (допущение)</w:t>
            </w:r>
          </w:p>
        </w:tc>
        <w:tc>
          <w:tcPr>
            <w:tcW w:type="dxa" w:w="15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Приоритет тестирования после Вордстата</w:t>
            </w:r>
          </w:p>
        </w:tc>
      </w:tr>
      <w:tr>
        <w:tc>
          <w:tcPr>
            <w:tcW w:type="dxa" w:w="12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BPMN как код и BPMN XML</w:t>
            </w:r>
          </w:p>
        </w:tc>
        <w:tc>
          <w:tcPr>
            <w:tcW w:type="dxa" w:w="10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1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3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1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5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Проверить в Вордстате</w:t>
            </w:r>
          </w:p>
        </w:tc>
      </w:tr>
      <w:tr>
        <w:tc>
          <w:tcPr>
            <w:tcW w:type="dxa" w:w="12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AI-генерация диаграммы по тексту</w:t>
            </w:r>
          </w:p>
        </w:tc>
        <w:tc>
          <w:tcPr>
            <w:tcW w:type="dxa" w:w="10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1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3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1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15</w:t>
            </w:r>
          </w:p>
        </w:tc>
        <w:tc>
          <w:tcPr>
            <w:tcW w:type="dxa" w:w="15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Доработать; не главное обещание MVP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Б.3 – Фиксация данных Яндекс Вордстат (регион — Беларусь)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536"/>
        <w:gridCol w:w="1877"/>
        <w:gridCol w:w="884"/>
        <w:gridCol w:w="1098"/>
        <w:gridCol w:w="991"/>
        <w:gridCol w:w="884"/>
        <w:gridCol w:w="991"/>
        <w:gridCol w:w="1420"/>
        <w:gridCol w:w="670"/>
      </w:tblGrid>
      <w:tr>
        <w:tc>
          <w:tcPr>
            <w:tcW w:type="dxa" w:w="5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№</w:t>
            </w:r>
          </w:p>
        </w:tc>
        <w:tc>
          <w:tcPr>
            <w:tcW w:type="dxa" w:w="18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Запрос</w:t>
            </w:r>
          </w:p>
        </w:tc>
        <w:tc>
          <w:tcPr>
            <w:tcW w:type="dxa" w:w="8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Группа</w:t>
            </w:r>
          </w:p>
        </w:tc>
        <w:tc>
          <w:tcPr>
            <w:tcW w:type="dxa" w:w="10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Вкладка</w:t>
            </w:r>
          </w:p>
        </w:tc>
        <w:tc>
          <w:tcPr>
            <w:tcW w:type="dxa" w:w="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Число запросов в месяц</w:t>
            </w:r>
          </w:p>
        </w:tc>
        <w:tc>
          <w:tcPr>
            <w:tcW w:type="dxa" w:w="8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Индекс по региону</w:t>
            </w:r>
          </w:p>
        </w:tc>
        <w:tc>
          <w:tcPr>
            <w:tcW w:type="dxa" w:w="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Динамика</w:t>
            </w:r>
          </w:p>
        </w:tc>
        <w:tc>
          <w:tcPr>
            <w:tcW w:type="dxa" w:w="14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Коммерческий признак</w:t>
            </w:r>
          </w:p>
        </w:tc>
        <w:tc>
          <w:tcPr>
            <w:tcW w:type="dxa" w:w="6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Вывод</w:t>
            </w:r>
          </w:p>
        </w:tc>
      </w:tr>
      <w:tr>
        <w:tc>
          <w:tcPr>
            <w:tcW w:type="dxa" w:w="5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8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idef0 -реферат -скачать</w:t>
            </w:r>
          </w:p>
        </w:tc>
        <w:tc>
          <w:tcPr>
            <w:tcW w:type="dxa" w:w="8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К2</w:t>
            </w:r>
          </w:p>
        </w:tc>
        <w:tc>
          <w:tcPr>
            <w:tcW w:type="dxa" w:w="10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Топы, Динамика, Регионы</w:t>
            </w:r>
          </w:p>
        </w:tc>
        <w:tc>
          <w:tcPr>
            <w:tcW w:type="dxa" w:w="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8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4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</w:t>
            </w:r>
          </w:p>
        </w:tc>
        <w:tc>
          <w:tcPr>
            <w:tcW w:type="dxa" w:w="6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5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18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idef0 онлайн</w:t>
            </w:r>
          </w:p>
        </w:tc>
        <w:tc>
          <w:tcPr>
            <w:tcW w:type="dxa" w:w="8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К2</w:t>
            </w:r>
          </w:p>
        </w:tc>
        <w:tc>
          <w:tcPr>
            <w:tcW w:type="dxa" w:w="10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Топы</w:t>
            </w:r>
          </w:p>
        </w:tc>
        <w:tc>
          <w:tcPr>
            <w:tcW w:type="dxa" w:w="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8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4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6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5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8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bpmn -вакансия -курсы</w:t>
            </w:r>
          </w:p>
        </w:tc>
        <w:tc>
          <w:tcPr>
            <w:tcW w:type="dxa" w:w="8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К3</w:t>
            </w:r>
          </w:p>
        </w:tc>
        <w:tc>
          <w:tcPr>
            <w:tcW w:type="dxa" w:w="10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Топы, Динамика</w:t>
            </w:r>
          </w:p>
        </w:tc>
        <w:tc>
          <w:tcPr>
            <w:tcW w:type="dxa" w:w="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8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4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</w:t>
            </w:r>
          </w:p>
        </w:tc>
        <w:tc>
          <w:tcPr>
            <w:tcW w:type="dxa" w:w="6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5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8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bpmn редактор</w:t>
            </w:r>
          </w:p>
        </w:tc>
        <w:tc>
          <w:tcPr>
            <w:tcW w:type="dxa" w:w="8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К3</w:t>
            </w:r>
          </w:p>
        </w:tc>
        <w:tc>
          <w:tcPr>
            <w:tcW w:type="dxa" w:w="10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Топы</w:t>
            </w:r>
          </w:p>
        </w:tc>
        <w:tc>
          <w:tcPr>
            <w:tcW w:type="dxa" w:w="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8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4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6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5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8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 диаграмма онлайн</w:t>
            </w:r>
          </w:p>
        </w:tc>
        <w:tc>
          <w:tcPr>
            <w:tcW w:type="dxa" w:w="8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К4</w:t>
            </w:r>
          </w:p>
        </w:tc>
        <w:tc>
          <w:tcPr>
            <w:tcW w:type="dxa" w:w="10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Топы</w:t>
            </w:r>
          </w:p>
        </w:tc>
        <w:tc>
          <w:tcPr>
            <w:tcW w:type="dxa" w:w="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8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4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6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5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</w:t>
            </w:r>
          </w:p>
        </w:tc>
        <w:tc>
          <w:tcPr>
            <w:tcW w:type="dxa" w:w="18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uml онлайн</w:t>
            </w:r>
          </w:p>
        </w:tc>
        <w:tc>
          <w:tcPr>
            <w:tcW w:type="dxa" w:w="8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К5</w:t>
            </w:r>
          </w:p>
        </w:tc>
        <w:tc>
          <w:tcPr>
            <w:tcW w:type="dxa" w:w="10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Топы, Регионы</w:t>
            </w:r>
          </w:p>
        </w:tc>
        <w:tc>
          <w:tcPr>
            <w:tcW w:type="dxa" w:w="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8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4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6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5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</w:t>
            </w:r>
          </w:p>
        </w:tc>
        <w:tc>
          <w:tcPr>
            <w:tcW w:type="dxa" w:w="18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</w:t>
            </w:r>
          </w:p>
        </w:tc>
        <w:tc>
          <w:tcPr>
            <w:tcW w:type="dxa" w:w="8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К6</w:t>
            </w:r>
          </w:p>
        </w:tc>
        <w:tc>
          <w:tcPr>
            <w:tcW w:type="dxa" w:w="10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Динамика, Регионы</w:t>
            </w:r>
          </w:p>
        </w:tc>
        <w:tc>
          <w:tcPr>
            <w:tcW w:type="dxa" w:w="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8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4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</w:t>
            </w:r>
          </w:p>
        </w:tc>
        <w:tc>
          <w:tcPr>
            <w:tcW w:type="dxa" w:w="6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5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</w:t>
            </w:r>
          </w:p>
        </w:tc>
        <w:tc>
          <w:tcPr>
            <w:tcW w:type="dxa" w:w="18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нарисовать диаграмму онлайн</w:t>
            </w:r>
          </w:p>
        </w:tc>
        <w:tc>
          <w:tcPr>
            <w:tcW w:type="dxa" w:w="8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К7</w:t>
            </w:r>
          </w:p>
        </w:tc>
        <w:tc>
          <w:tcPr>
            <w:tcW w:type="dxa" w:w="10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Топы</w:t>
            </w:r>
          </w:p>
        </w:tc>
        <w:tc>
          <w:tcPr>
            <w:tcW w:type="dxa" w:w="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8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4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6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5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9</w:t>
            </w:r>
          </w:p>
        </w:tc>
        <w:tc>
          <w:tcPr>
            <w:tcW w:type="dxa" w:w="18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dfd диаграмма</w:t>
            </w:r>
          </w:p>
        </w:tc>
        <w:tc>
          <w:tcPr>
            <w:tcW w:type="dxa" w:w="8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К2</w:t>
            </w:r>
          </w:p>
        </w:tc>
        <w:tc>
          <w:tcPr>
            <w:tcW w:type="dxa" w:w="10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Топы</w:t>
            </w:r>
          </w:p>
        </w:tc>
        <w:tc>
          <w:tcPr>
            <w:tcW w:type="dxa" w:w="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8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4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</w:t>
            </w:r>
          </w:p>
        </w:tc>
        <w:tc>
          <w:tcPr>
            <w:tcW w:type="dxa" w:w="6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5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10</w:t>
            </w:r>
          </w:p>
        </w:tc>
        <w:tc>
          <w:tcPr>
            <w:tcW w:type="dxa" w:w="18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(диаграмма|диаграммы) онлайн -скачать</w:t>
            </w:r>
          </w:p>
        </w:tc>
        <w:tc>
          <w:tcPr>
            <w:tcW w:type="dxa" w:w="8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Кластер для Excel</w:t>
            </w:r>
          </w:p>
        </w:tc>
        <w:tc>
          <w:tcPr>
            <w:tcW w:type="dxa" w:w="10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Динамика помесячно</w:t>
            </w:r>
          </w:p>
        </w:tc>
        <w:tc>
          <w:tcPr>
            <w:tcW w:type="dxa" w:w="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8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tcPr>
            <w:tcW w:type="dxa" w:w="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4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6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Б.4 – Оценка запросов Вордстата по пяти критериям (1–5)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265"/>
        <w:gridCol w:w="1577"/>
        <w:gridCol w:w="2017"/>
        <w:gridCol w:w="1191"/>
        <w:gridCol w:w="933"/>
        <w:gridCol w:w="1232"/>
        <w:gridCol w:w="1136"/>
      </w:tblGrid>
      <w:tr>
        <w:tc>
          <w:tcPr>
            <w:tcW w:type="dxa" w:w="12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Запрос</w:t>
            </w:r>
          </w:p>
        </w:tc>
        <w:tc>
          <w:tcPr>
            <w:tcW w:type="dxa" w:w="15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Частотность</w:t>
            </w:r>
          </w:p>
        </w:tc>
        <w:tc>
          <w:tcPr>
            <w:tcW w:type="dxa" w:w="201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Коммерческое намерение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Динамика</w:t>
            </w:r>
          </w:p>
        </w:tc>
        <w:tc>
          <w:tcPr>
            <w:tcW w:type="dxa" w:w="9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Регион</w:t>
            </w:r>
          </w:p>
        </w:tc>
        <w:tc>
          <w:tcPr>
            <w:tcW w:type="dxa" w:w="12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Чистота смысла</w:t>
            </w:r>
          </w:p>
        </w:tc>
        <w:tc>
          <w:tcPr>
            <w:tcW w:type="dxa" w:w="113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Средний балл</w:t>
            </w:r>
          </w:p>
        </w:tc>
      </w:tr>
      <w:tr>
        <w:tc>
          <w:tcPr>
            <w:tcW w:type="dxa" w:w="12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idef0 онлайн</w:t>
            </w:r>
          </w:p>
        </w:tc>
        <w:tc>
          <w:tcPr>
            <w:tcW w:type="dxa" w:w="15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201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 (допущение)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9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2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13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12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bpmn редактор</w:t>
            </w:r>
          </w:p>
        </w:tc>
        <w:tc>
          <w:tcPr>
            <w:tcW w:type="dxa" w:w="15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201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 (допущение)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9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2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13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12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uml онлайн</w:t>
            </w:r>
          </w:p>
        </w:tc>
        <w:tc>
          <w:tcPr>
            <w:tcW w:type="dxa" w:w="15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201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(допущение)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9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2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13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Б.5 – Журнал выгрузки данных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510"/>
        <w:gridCol w:w="1148"/>
        <w:gridCol w:w="943"/>
        <w:gridCol w:w="1337"/>
        <w:gridCol w:w="1250"/>
        <w:gridCol w:w="2550"/>
        <w:gridCol w:w="1615"/>
      </w:tblGrid>
      <w:tr>
        <w:tc>
          <w:tcPr>
            <w:tcW w:type="dxa" w:w="51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№</w:t>
            </w:r>
          </w:p>
        </w:tc>
        <w:tc>
          <w:tcPr>
            <w:tcW w:type="dxa" w:w="11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Дата</w:t>
            </w:r>
          </w:p>
        </w:tc>
        <w:tc>
          <w:tcPr>
            <w:tcW w:type="dxa" w:w="9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Сервис</w:t>
            </w:r>
          </w:p>
        </w:tc>
        <w:tc>
          <w:tcPr>
            <w:tcW w:type="dxa" w:w="133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Запрос или кластер</w:t>
            </w:r>
          </w:p>
        </w:tc>
        <w:tc>
          <w:tcPr>
            <w:tcW w:type="dxa" w:w="12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Территория, период</w:t>
            </w:r>
          </w:p>
        </w:tc>
        <w:tc>
          <w:tcPr>
            <w:tcW w:type="dxa" w:w="25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Настройки и файл</w:t>
            </w:r>
          </w:p>
        </w:tc>
        <w:tc>
          <w:tcPr>
            <w:tcW w:type="dxa" w:w="16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Назначение</w:t>
            </w:r>
          </w:p>
        </w:tc>
      </w:tr>
      <w:tr>
        <w:tc>
          <w:tcPr>
            <w:tcW w:type="dxa" w:w="51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1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17.09.2026</w:t>
            </w:r>
          </w:p>
        </w:tc>
        <w:tc>
          <w:tcPr>
            <w:tcW w:type="dxa" w:w="9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Google Trends</w:t>
            </w:r>
          </w:p>
        </w:tc>
        <w:tc>
          <w:tcPr>
            <w:tcW w:type="dxa" w:w="133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diagram as code, PlantUML, Mermaid.js</w:t>
            </w:r>
          </w:p>
        </w:tc>
        <w:tc>
          <w:tcPr>
            <w:tcW w:type="dxa" w:w="12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Мир, 5 лет</w:t>
            </w:r>
          </w:p>
        </w:tc>
        <w:tc>
          <w:tcPr>
            <w:tcW w:type="dxa" w:w="25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Все категории, веб-поиск; CSV не сохранён; средние 3 / 41 / 2</w:t>
            </w:r>
          </w:p>
        </w:tc>
        <w:tc>
          <w:tcPr>
            <w:tcW w:type="dxa" w:w="16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Динамика категории</w:t>
            </w:r>
          </w:p>
        </w:tc>
      </w:tr>
      <w:tr>
        <w:tc>
          <w:tcPr>
            <w:tcW w:type="dxa" w:w="51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11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17.09.2026</w:t>
            </w:r>
          </w:p>
        </w:tc>
        <w:tc>
          <w:tcPr>
            <w:tcW w:type="dxa" w:w="9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Google Trends</w:t>
            </w:r>
          </w:p>
        </w:tc>
        <w:tc>
          <w:tcPr>
            <w:tcW w:type="dxa" w:w="133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UML diagram generator, ERD tool, text to diagram</w:t>
            </w:r>
          </w:p>
        </w:tc>
        <w:tc>
          <w:tcPr>
            <w:tcW w:type="dxa" w:w="12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Мир, 5 лет</w:t>
            </w:r>
          </w:p>
        </w:tc>
        <w:tc>
          <w:tcPr>
            <w:tcW w:type="dxa" w:w="25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 же; средние 2 / 4 / 26</w:t>
            </w:r>
          </w:p>
        </w:tc>
        <w:tc>
          <w:tcPr>
            <w:tcW w:type="dxa" w:w="16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Инструментальные запросы</w:t>
            </w:r>
          </w:p>
        </w:tc>
      </w:tr>
      <w:tr>
        <w:tc>
          <w:tcPr>
            <w:tcW w:type="dxa" w:w="51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1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17.09.2026</w:t>
            </w:r>
          </w:p>
        </w:tc>
        <w:tc>
          <w:tcPr>
            <w:tcW w:type="dxa" w:w="9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Google Trends</w:t>
            </w:r>
          </w:p>
        </w:tc>
        <w:tc>
          <w:tcPr>
            <w:tcW w:type="dxa" w:w="133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PlantUML, text to diagram</w:t>
            </w:r>
          </w:p>
        </w:tc>
        <w:tc>
          <w:tcPr>
            <w:tcW w:type="dxa" w:w="12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Мир, 5 лет</w:t>
            </w:r>
          </w:p>
        </w:tc>
        <w:tc>
          <w:tcPr>
            <w:tcW w:type="dxa" w:w="25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Время, регионы, связанные запросы; рабочая книга с 40 месяцами</w:t>
            </w:r>
          </w:p>
        </w:tc>
        <w:tc>
          <w:tcPr>
            <w:tcW w:type="dxa" w:w="16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Excel-шаблон, география</w:t>
            </w:r>
          </w:p>
        </w:tc>
      </w:tr>
      <w:tr>
        <w:tc>
          <w:tcPr>
            <w:tcW w:type="dxa" w:w="51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1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9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Google Trends</w:t>
            </w:r>
          </w:p>
        </w:tc>
        <w:tc>
          <w:tcPr>
            <w:tcW w:type="dxa" w:w="133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Пакеты П1–П5</w:t>
            </w:r>
          </w:p>
        </w:tc>
        <w:tc>
          <w:tcPr>
            <w:tcW w:type="dxa" w:w="12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Беларусь, 5 лет и 12 месяцев</w:t>
            </w:r>
          </w:p>
        </w:tc>
        <w:tc>
          <w:tcPr>
            <w:tcW w:type="dxa" w:w="25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Время, регионы, связанные запросы и темы; GT_дата_BY_5y_запрос_time.csv</w:t>
            </w:r>
          </w:p>
        </w:tc>
        <w:tc>
          <w:tcPr>
            <w:tcW w:type="dxa" w:w="16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Повтор по РБ</w:t>
            </w:r>
          </w:p>
        </w:tc>
      </w:tr>
      <w:tr>
        <w:tc>
          <w:tcPr>
            <w:tcW w:type="dxa" w:w="51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1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9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Яндекс Вордстат</w:t>
            </w:r>
          </w:p>
        </w:tc>
        <w:tc>
          <w:tcPr>
            <w:tcW w:type="dxa" w:w="133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Кластер «диаграмма онлайн»</w:t>
            </w:r>
          </w:p>
        </w:tc>
        <w:tc>
          <w:tcPr>
            <w:tcW w:type="dxa" w:w="12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Беларусь, помесячно</w:t>
            </w:r>
          </w:p>
        </w:tc>
        <w:tc>
          <w:tcPr>
            <w:tcW w:type="dxa" w:w="25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Все устройства, «Динамика»; YW_дата_BY_diagram-online_dynamic.xlsx</w:t>
            </w:r>
          </w:p>
        </w:tc>
        <w:tc>
          <w:tcPr>
            <w:tcW w:type="dxa" w:w="16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Сезонность, Excel</w:t>
            </w:r>
          </w:p>
        </w:tc>
      </w:tr>
      <w:tr>
        <w:tc>
          <w:tcPr>
            <w:tcW w:type="dxa" w:w="51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</w:t>
            </w:r>
          </w:p>
        </w:tc>
        <w:tc>
          <w:tcPr>
            <w:tcW w:type="dxa" w:w="11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9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Яндекс Вордстат</w:t>
            </w:r>
          </w:p>
        </w:tc>
        <w:tc>
          <w:tcPr>
            <w:tcW w:type="dxa" w:w="133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idef0, bpmn, uml, er диаграмма</w:t>
            </w:r>
          </w:p>
        </w:tc>
        <w:tc>
          <w:tcPr>
            <w:tcW w:type="dxa" w:w="12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Беларусь и города</w:t>
            </w:r>
          </w:p>
        </w:tc>
        <w:tc>
          <w:tcPr>
            <w:tcW w:type="dxa" w:w="25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«Регионы»; YW_дата_BY_запрос_regions.xlsx</w:t>
            </w:r>
          </w:p>
        </w:tc>
        <w:tc>
          <w:tcPr>
            <w:tcW w:type="dxa" w:w="16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География</w:t>
            </w:r>
          </w:p>
        </w:tc>
      </w:tr>
      <w:tr>
        <w:tc>
          <w:tcPr>
            <w:tcW w:type="dxa" w:w="51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</w:t>
            </w:r>
          </w:p>
        </w:tc>
        <w:tc>
          <w:tcPr>
            <w:tcW w:type="dxa" w:w="11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9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Яндекс Вордстат</w:t>
            </w:r>
          </w:p>
        </w:tc>
        <w:tc>
          <w:tcPr>
            <w:tcW w:type="dxa" w:w="133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10 базовых запросов</w:t>
            </w:r>
          </w:p>
        </w:tc>
        <w:tc>
          <w:tcPr>
            <w:tcW w:type="dxa" w:w="12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Беларусь</w:t>
            </w:r>
          </w:p>
        </w:tc>
        <w:tc>
          <w:tcPr>
            <w:tcW w:type="dxa" w:w="25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«Топы запросов»; YW_дата_BY_запрос_top.xlsx</w:t>
            </w:r>
          </w:p>
        </w:tc>
        <w:tc>
          <w:tcPr>
            <w:tcW w:type="dxa" w:w="16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Язык аудитории</w:t>
            </w:r>
          </w:p>
        </w:tc>
      </w:tr>
    </w:tbl>
    <w:bookmarkEnd w:id="57"/>
    <w:bookmarkStart w:id="58" w:name="Xf9e8cd1f584eadb3187e6a8c579a44a48982c94"/>
    <w:p>
      <w:pPr>
        <w:pStyle w:val="Heading1"/>
        <w:keepNext w:val="0"/>
        <w:pageBreakBefore/>
        <w:spacing w:before="0" w:after="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ПРИЛОЖЕНИЕ В</w:t>
      </w: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>(справочное)</w:t>
      </w:r>
    </w:p>
    <w:p>
      <w:pPr>
        <w:keepNext w:val="0"/>
        <w:spacing w:before="0" w:after="36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Помесячный расчёт тренда, сезонности и циклического коэффициента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Расчёт выполнен по формулам (6), (7) и (10) для ряда PlantUML (Google Trends, весь мир). Тренд и отношение Y/T рассчитываются с 12-го наблюдения.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В.1 – Помесячный расчёт по Excel-шаблону</w:t>
      </w:r>
    </w:p>
    <w:tbl>
      <w:tblPr>
        <w:jc w:val="center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/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Период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Y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T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Y/T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S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K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Фаза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2021-09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0,885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2021-10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0,992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2021-11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1,048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2021-12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0,973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2022-01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0,939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2022-02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1,039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2022-03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1,121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2022-04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1,095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2022-05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1,072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2022-06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1,043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2022-07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0,969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2022-08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22,83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0,964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0,823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1,171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выше тренда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2022-09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23,50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1,021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0,885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1,154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выше тренда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2022-10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23,92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1,045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0,992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1,053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норма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2022-11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24,50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1,143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1,048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1,091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норма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2022-12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25,00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1,040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0,973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1,069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норма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2023-01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25,25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0,990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0,939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1,054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норма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2023-02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25,67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1,286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1,039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1,237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выше тренда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2023-03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26,17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1,185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1,121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1,057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норма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2023-04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26,58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1,129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1,095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1,030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норма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2023-05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26,92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1,152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1,072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1,075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норма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2023-06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27,58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1,088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1,043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1,043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норма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2023-07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28,17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1,172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0,969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1,209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выше тренда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2023-08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28,50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0,912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0,823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1,108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выше тренда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2023-09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29,00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1,034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0,885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1,169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выше тренда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2023-10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29,75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1,143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0,992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1,152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выше тренда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2023-11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30,58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1,242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1,048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1,186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выше тренда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2023-12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31,25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1,088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0,973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1,118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выше тренда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2024-01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32,25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1,147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0,939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1,222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выше тренда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2024-02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32,42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1,080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1,039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1,039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норма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2024-03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33,67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1,366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1,121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1,219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выше тренда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2024-04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35,17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1,365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1,095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1,246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выше тренда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2024-05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36,50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1,288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1,072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1,202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выше тренда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2024-06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38,08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1,287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1,043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1,234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выше тренда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2024-07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38,67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1,034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0,969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1,067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норма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2024-08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39,58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0,935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0,823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1,136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выше тренда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2024-09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40,33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0,967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0,885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1,092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норма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2024-10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41,67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1,200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0,992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1,209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выше тренда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2024-11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42,75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1,193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1,048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1,138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выше тренда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2024-12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44,33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1,196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0,973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1,228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выше тренда</w:t>
            </w:r>
          </w:p>
        </w:tc>
      </w:tr>
    </w:tbl>
    <w:bookmarkEnd w:id="58"/>
    <w:bookmarkStart w:id="59" w:name="X7f3bf847b347133e37a18bcd26d8228911ac1a2"/>
    <w:p>
      <w:pPr>
        <w:pStyle w:val="Heading1"/>
        <w:keepNext w:val="0"/>
        <w:pageBreakBefore/>
        <w:spacing w:before="0" w:after="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ПРИЛОЖЕНИЕ Г</w:t>
      </w: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>(справочное)</w:t>
      </w:r>
    </w:p>
    <w:p>
      <w:pPr>
        <w:keepNext w:val="0"/>
        <w:spacing w:before="0" w:after="36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Программные средства работы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Excel-шаблон методики заполняется VBA-модулем LR1_NotaCode_Trend.bas. Порядок работы:</w:t>
      </w:r>
    </w:p>
    <w:p>
      <w:pPr>
        <w:keepNext w:val="0"/>
        <w:numPr>
          <w:ilvl w:val="0"/>
          <w:numId w:val="1008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скопировать шаблон и сохранить копию как книгу с поддержкой макросов;</w:t>
      </w:r>
    </w:p>
    <w:p>
      <w:pPr>
        <w:keepNext w:val="0"/>
        <w:numPr>
          <w:ilvl w:val="0"/>
          <w:numId w:val="1008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импортировать модуль (Alt+F11, File, Import File);</w:t>
      </w:r>
    </w:p>
    <w:p>
      <w:pPr>
        <w:keepNext w:val="0"/>
        <w:numPr>
          <w:ilvl w:val="0"/>
          <w:numId w:val="1008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запустить макрос Main.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Макрос выполняет следующее:</w:t>
      </w:r>
    </w:p>
    <w:p>
      <w:pPr>
        <w:keepNext w:val="0"/>
        <w:numPr>
          <w:ilvl w:val="0"/>
          <w:numId w:val="1009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загружает помесячный ряд Google Trends из рабочей книги замера или с листа «Ввод_NotaCode»;</w:t>
      </w:r>
    </w:p>
    <w:p>
      <w:pPr>
        <w:keepNext w:val="0"/>
        <w:numPr>
          <w:ilvl w:val="0"/>
          <w:numId w:val="1009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вносит данные Вордстата после досбора;</w:t>
      </w:r>
    </w:p>
    <w:p>
      <w:pPr>
        <w:keepNext w:val="0"/>
        <w:numPr>
          <w:ilvl w:val="0"/>
          <w:numId w:val="1009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очищает демонстрационные строки и заполняет лист «Ввод_данных»;</w:t>
      </w:r>
    </w:p>
    <w:p>
      <w:pPr>
        <w:keepNext w:val="0"/>
        <w:numPr>
          <w:ilvl w:val="0"/>
          <w:numId w:val="1009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заполняет «Журнал_выгрузки»;</w:t>
      </w:r>
    </w:p>
    <w:p>
      <w:pPr>
        <w:keepNext w:val="0"/>
        <w:numPr>
          <w:ilvl w:val="0"/>
          <w:numId w:val="1009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пересчитывает книгу и строит лист «График_NotaCode» (динамика с трендом, сезонные индексы, циклический коэффициент).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Макрос ApplyCenteredMA заменяет тренд на центрированное скользящее среднее по формуле (11), RestoreTemplateMA возвращает исходные формулы.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Python-скрипт lr1_gt_analysis.py повторяет формулы шаблона. Он строит рисунки 1–5 и сохраняет помесячный расчёт (приложение В). Результаты Excel-шаблона и скрипта совпали.</w:t>
      </w:r>
    </w:p>
    <w:bookmarkEnd w:id="59"/>
    <w:sectPr>
      <w:footerReference w:type="default" r:id="rId9"/>
      <w:pgSz w:w="11906" w:h="16838"/>
      <w:pgMar w:left="1701" w:right="850" w:top="1134" w:bottom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21">
    <w:nsid w:val="71315dca"/>
    <w:multiLevelType w:val="multilevel"/>
    <w:lvl w:ilvl="0">
      <w:start w:val="1"/>
      <w:numFmt w:val="decimal"/>
      <w:lvlText w:val="%1)"/>
      <w:lvlJc w:val="left"/>
      <w:pPr>
        <w:ind w:left="720" w:hanging="480"/>
      </w:pPr>
    </w:lvl>
    <w:lvl w:ilvl="1">
      <w:start w:val="1"/>
      <w:numFmt w:val="decimal"/>
      <w:lvlText w:val="%2)"/>
      <w:lvlJc w:val="left"/>
      <w:pPr>
        <w:ind w:left="1440" w:hanging="480"/>
      </w:pPr>
    </w:lvl>
    <w:lvl w:ilvl="2">
      <w:start w:val="1"/>
      <w:numFmt w:val="decimal"/>
      <w:lvlText w:val="%3)"/>
      <w:lvlJc w:val="left"/>
      <w:pPr>
        <w:ind w:left="2160" w:hanging="480"/>
      </w:pPr>
    </w:lvl>
    <w:lvl w:ilvl="3">
      <w:start w:val="1"/>
      <w:numFmt w:val="decimal"/>
      <w:lvlText w:val="%4)"/>
      <w:lvlJc w:val="left"/>
      <w:pPr>
        <w:ind w:left="2880" w:hanging="480"/>
      </w:pPr>
    </w:lvl>
    <w:lvl w:ilvl="4">
      <w:start w:val="1"/>
      <w:numFmt w:val="decimal"/>
      <w:lvlText w:val="%5)"/>
      <w:lvlJc w:val="left"/>
      <w:pPr>
        <w:ind w:left="3600" w:hanging="480"/>
      </w:pPr>
    </w:lvl>
    <w:lvl w:ilvl="5">
      <w:start w:val="1"/>
      <w:numFmt w:val="decimal"/>
      <w:lvlText w:val="%6)"/>
      <w:lvlJc w:val="left"/>
      <w:pPr>
        <w:ind w:left="4320" w:hanging="480"/>
      </w:pPr>
    </w:lvl>
    <w:lvl w:ilvl="6">
      <w:start w:val="1"/>
      <w:numFmt w:val="decimal"/>
      <w:lvlText w:val="%7)"/>
      <w:lvlJc w:val="left"/>
      <w:pPr>
        <w:ind w:left="5040" w:hanging="480"/>
      </w:pPr>
    </w:lvl>
    <w:lvl w:ilvl="7">
      <w:start w:val="1"/>
      <w:numFmt w:val="decimal"/>
      <w:lvlText w:val="%8)"/>
      <w:lvlJc w:val="left"/>
      <w:pPr>
        <w:ind w:left="5760" w:hanging="480"/>
      </w:pPr>
    </w:lvl>
    <w:lvl w:ilvl="8">
      <w:start w:val="1"/>
      <w:numFmt w:val="decimal"/>
      <w:lvlText w:val="%9)"/>
      <w:lvlJc w:val="left"/>
      <w:pPr>
        <w:ind w:left="6480" w:hanging="480"/>
      </w:pPr>
    </w:lvl>
  </w:abstractNum>
  <w:abstractNum w:abstractNumId="99411">
    <w:nsid w:val="47261bad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cs="Times New Roman" w:eastAsia="Times New Roman" w:hAnsi="Times New Roman"/>
      <w:color w:val="00000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cs="Times New Roman" w:eastAsia="Times New Roman" w:hAnsi="Times New Roman"/>
      <w:color w:val="000000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cs="Times New Roman" w:eastAsia="Times New Roman" w:hAnsi="Times New Roman"/>
      <w:color w:val="00000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cs="Times New Roman" w:eastAsia="Times New Roman" w:hAnsi="Times New Roman"/>
      <w:color w:val="00000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cs="Times New Roman" w:eastAsia="Times New Roman" w:hAnsi="Times New Roman"/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rFonts w:ascii="Times New Roman" w:cs="Times New Roman" w:eastAsia="Times New Roman" w:hAnsi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cs="Times New Roman" w:eastAsia="Times New Roman" w:hAnsi="Times New Roman"/>
      <w:color w:val="00000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  <w:color w:val="00000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</w:rPr>
  </w:style>
  <w:style w:default="1" w:styleId="DefaultParagraphFont" w:type="character">
    <w:name w:val="Default Paragraph Font"/>
    <w:semiHidden/>
    <w:unhideWhenUsed/>
    <w:rPr>
      <w:rFonts w:ascii="Times New Roman" w:cs="Times New Roman" w:eastAsia="Times New Roman" w:hAnsi="Times New Roman"/>
      <w:color w:val="000000"/>
    </w:rPr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cs="Times New Roman" w:eastAsia="Times New Roman" w:hAnsi="Times New Roman"/>
      <w:b/>
      <w:color w:val="000000"/>
    </w:rPr>
  </w:style>
  <w:style w:customStyle="1" w:styleId="Definition" w:type="paragraph">
    <w:name w:val="Definition"/>
    <w:basedOn w:val="Normal"/>
    <w:rPr>
      <w:rFonts w:ascii="Times New Roman" w:cs="Times New Roman" w:eastAsia="Times New Roman" w:hAnsi="Times New Roman"/>
      <w:color w:val="000000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cs="Times New Roman" w:eastAsia="Times New Roman" w:hAnsi="Times New Roman"/>
      <w:i/>
      <w:color w:val="000000"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  <w:color w:val="000000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color w:val="000000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  <w:color w:val="00000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</w:rPr>
  </w:style>
  <w:style w:customStyle="1" w:styleId="BodyTextChar" w:type="character">
    <w:name w:val="Body Text Char"/>
    <w:basedOn w:val="DefaultParagraphFont"/>
    <w:link w:val="BodyText"/>
    <w:rPr>
      <w:rFonts w:ascii="Times New Roman" w:cs="Times New Roman" w:eastAsia="Times New Roman" w:hAnsi="Times New Roman"/>
      <w:color w:val="000000"/>
    </w:rPr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color w:val="000000"/>
      <w:sz w:val="22"/>
    </w:rPr>
  </w:style>
  <w:style w:customStyle="1" w:styleId="SectionNumber" w:type="character">
    <w:name w:val="Section Number"/>
    <w:basedOn w:val="BodyTextChar"/>
    <w:rPr>
      <w:rFonts w:ascii="Times New Roman" w:cs="Times New Roman" w:eastAsia="Times New Roman" w:hAnsi="Times New Roman"/>
      <w:color w:val="000000"/>
    </w:rPr>
  </w:style>
  <w:style w:styleId="FootnoteReference" w:type="character">
    <w:name w:val="Footnote Reference"/>
    <w:basedOn w:val="BodyTextChar"/>
    <w:rPr>
      <w:rFonts w:ascii="Times New Roman" w:cs="Times New Roman" w:eastAsia="Times New Roman" w:hAnsi="Times New Roman"/>
      <w:color w:val="000000"/>
      <w:vertAlign w:val="superscript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9" Type="http://schemas.openxmlformats.org/officeDocument/2006/relationships/image" Target="media/rId29.png"/><Relationship Id="rId40" Type="http://schemas.openxmlformats.org/officeDocument/2006/relationships/image" Target="media/rId40.png"/><Relationship Id="rId42" Type="http://schemas.openxmlformats.org/officeDocument/2006/relationships/image" Target="media/rId42.png"/><Relationship Id="rId32" Type="http://schemas.openxmlformats.org/officeDocument/2006/relationships/image" Target="media/rId32.png"/><Relationship Id="rId38" Type="http://schemas.openxmlformats.org/officeDocument/2006/relationships/image" Target="media/rId3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2026-09-26T13:46:36Z</dcterms:created>
  <dcterms:modified xsi:type="dcterms:W3CDTF">2026-09-26T13:46:36Z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