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цель-работы"/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Министерство образования Республики Беларусь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Учреждение образования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БЕЛОРУССКИЙ ГОСУДАРСТВЕННЫЙ УНИВЕРСИТЕТ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ИНФОРМАТИКИ И РАДИОЭЛЕКТРОНИКИ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Факультет информационных технологий и управления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Кафедра информационных технологий автоматизированных систем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ОТЧЕТ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по лабораторным работам №2–3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по дисциплине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«Электронный бизнес»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на тему «Оценка объёма рынка электронного бизнеса»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</w:r>
      <w:r>
        <w:rPr>
          <w:sz w:val="28"/>
        </w:rPr>
        <w:tab/>
        <w:t>К. А. Хаджинова</w:t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</w:r>
      <w:r>
        <w:rPr>
          <w:sz w:val="28"/>
        </w:rPr>
        <w:tab/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  <w:t>Проверил(а):</w:t>
      </w:r>
      <w:r>
        <w:rPr>
          <w:sz w:val="28"/>
        </w:rPr>
        <w:tab/>
        <w:t>🔲 И. О. Фамилия</w:t>
      </w: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Минск 2026</w:t>
      </w:r>
    </w:p>
    <w:p>
      <w:pPr>
        <w:keepNext w:val="0"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keepNext w:val="0"/>
        <w:spacing w:before="0" w:after="0" w:lineRule="exact" w:line="360"/>
        <w:ind w:firstLine="0"/>
      </w:pPr>
      <w:r>
        <w:fldChar w:fldCharType="begin"/>
        <w:instrText xml:space="preserve">TOC \o "1-2" \h \z \u</w:instrText>
        <w:fldChar w:fldCharType="separate"/>
        <w:fldChar w:fldCharType="end"/>
      </w:r>
    </w:p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 ЦЕЛЬ РАБОТЫ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Получить согласованную оценку объёма рынка для электронного бизнеса NotaCode – web-IDE (PWA) класса «diagram as code» для формальных нотаций моделирования (UML, BPMN 2.0, ERD, IDEF0, IDEF1X, IDEF3, DFD, сети Петри) с моделью freemium (Free / Pro 4 USD в месяц или 40 USD в год). Для этого по единой инструкции применения методик оценки рынка электронного бизнеса [1] требуется: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зафиксировать продуктовые, клиентские, географические и канальные границы рынка;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подтвердить цифровой интерес (поисковый спрос, динамика);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оценить цифровую активность конкурентов по данным Similarweb, в том числе по методикам ЛР3 (цифровой объём, CR3/CR5, HHI) [2], [3];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рассчитать объём рынка не менее чем двумя независимыми методами («сверху вниз» и «снизу вверх» через потенциальных клиентов) и цифровой воронкой;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проверить результат тремя сценариями и платёжеспособностью;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выделить TAM, SAM и SOM и сформулировать итог диапазоном с ограничениями и следующим шагом.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ЛР3 выполняется как часть этой работы: комплект ЛР3 повторяет ЛР2 и добавляет две методики по Similarweb (подтверждено в чате группы).</w:t>
      </w:r>
    </w:p>
    <w:bookmarkEnd w:id="20"/>
    <w:bookmarkStart w:id="46" w:name="ход-работы"/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 ХОД РАБОТЫ</w:t>
      </w:r>
    </w:p>
    <w:bookmarkStart w:id="21" w:name="исходные-данные-и-допущения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 Исходные данные и допущения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Объект анализа – NotaCode: собственный DSL, валидация правил нотации (код правила, строка), раскладка elkjs, SVG-холст с кросс-подсветкой «строка ↔ элемент», версии и diff, экспорт в SVG, PNG, PlantUML, Mermaid, D2, DOT, BPMN XML, XMI, PNML, draw.io, SQL DDL, AI-ассистент (в MVP – заглушка или собственный ключ). Сегменты: S-01 студенты технических специальностей (первичный, Free), S-02 бизнес- и системные аналитики (Pro), S-03 архитекторы ПО (Pro), S-04 преподаватели. MVP – к 06.12.2026.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Все расчёты выполнены в BYN. Цена Pro задана в USD, поэтому введён курс-допущение (формула 1).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Цена Pro, BYN = цена, USD × K, K = 3,00 BYN/USD (допущение на 25.09.2026, 🔲 ДОСНЯТЬ: официальный курс НБРБ на дату сдачи, nbrb.by) (1)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Отсюда Pro = 4 × 3,00 = 12 BYN в месяц, годовой тариф 40 × 3,00 = 120 BYN. Годовой чек платящего пользователя принят сценарно: осторожный – 6 месяцев помесячной оплаты (учебный семестр) 6 × 12 = 72 BYN; базовый – годовой тариф 120 BYN; оптимистичный – 12 месяцев помесячно 12 × 12 = 144 BYN.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Реальные данные перенесены из ранее выполненной работы (под прежним именем продукта DiagramCode) с указанием источника и даты снятия (таблица 1). Новые статистические данные не придумывались; всё, чего нет в источниках, помечено как допущение (таблица 2).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 – Реальные исходные данные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96"/>
        <w:gridCol w:w="3096"/>
        <w:gridCol w:w="3162"/>
      </w:tblGrid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Источник, дата снятия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ВВП Беларуси, 2024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78,59 млрд USD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macrotrends.net [4], 17.09.2026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ИТ-сектора в ВВП (I кв. 2025)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6,1 %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opencompanyinbelarus.com [5], 17.09.2026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Резиденты Парка высоких технологий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более 1 000 компаний (свыше 40 % с иностранным капиталом)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[5], 17.09.2026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Выпускники ИТ-специальностей с высшим образованием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около 7 000 в год, 21 вуз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belarus.by [6], 17.09.2026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plantuml.com (Similarweb)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≈ 507 тыс. визитов; Россия – 9,07 % трафика (1-е место)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similarweb.com [7], 17.09.2026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mermaidchart.com (Similarweb)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&lt; 20 тыс. визитов; Вьетнам 44,98 %, Индонезия 26,27 %, США 15,1 %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[7], 17.09.2026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 (Similarweb)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678,5 тыс. визитов; Индия 40,81 %, США 8,61 %; Direct 49,05 %; bounce 43,73 %; 3,57 стр./визит; 1 мин 39 с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[7], 23.09.2026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app.diagrams.net (Similarweb)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7,8 млн визитов; США 10,89 %, Индия 8,29 %; Direct 68,65 %; bounce 55,5 %; 2,98 стр./визит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[7], 23.09.2026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Цены Eraser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Starter 15 USD (год) / 20 USD (мес.), Business 45 / 60 USD за участника в месяц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eraser.io/pricing [8], 17.09.2026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Trends, Worldwide, 2021-09…2024-12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16 → 53 пункта (+231 %); text to diagram 7–12 пунктов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trends.google.com [9], 17.09.2026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 – Журнал ключевых допущений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79"/>
        <w:gridCol w:w="2312"/>
        <w:gridCol w:w="2723"/>
        <w:gridCol w:w="1440"/>
      </w:tblGrid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Допущение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Обоснование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Надёжность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Курс USD/BYN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3,00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ориентир официального курса, проверить на nbrb.by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Число студентов ИТ-специальностей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7 000 × 4 курса = 28 000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реальные 7 000 выпускников в год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Аналитики / архитекторы в ПВТ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и 3 на компанию → 2 000 и 3 000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данных о численности по ролям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Преподаватели дисциплин с нотациями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 на вуз → 315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 вуз – реальные данные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Конверсия визит → регистрация Free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4 / 6 %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ориентиры SaaS-воронки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Конверсия Free → Pro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3 / 5 %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KPI-05 NotaCode = 3 %, концепция 3–5 %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Достижимая доля нового бизнеса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3 / 7 %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К5 методики потенциальных клиентов [10]: 0,5–1 / 1–3 / 3–7 %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Коэффициент охвата выборки Similarweb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0,80 / 0,60 / 0,45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домена, рынок фрагментирован [3]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Коммерчески релевантная доля трафика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 / 35 / 50 %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[3], разд. 16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РФ/РБ у eraser.io, app.diagrams.net, mermaidchart.com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1 %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страны вне топ-5 (у eraser.io 5-я страна 2,88 %)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категории «формальные нотации»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1,0; eraser 0,5; draw.io 0,2; Mermaid Chart 0,7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профиль продукта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</w:t>
            </w:r>
          </w:p>
        </w:tc>
      </w:tr>
    </w:tbl>
    <w:bookmarkEnd w:id="21"/>
    <w:bookmarkStart w:id="22" w:name="паспорт-границ-рынка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 Паспорт границ рынка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Первый обязательный этап – фиксация границ рынка [1] (таблица 3).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 – Паспорт границ рынка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89"/>
        <w:gridCol w:w="6065"/>
      </w:tblGrid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Элемент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Заполнение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Название рынка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Рынок онлайн-инструментов моделирования в формальных нотациях по принципу «diagram as code» для студентов, преподавателей и ИТ-специалистов русскоязычного сегмента с ядром в Республике Беларусь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Продуктовые границы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Подписка Pro на web-IDE с DSL, валидацией нотаций, версиями и экспортом; входят UML, BPMN, ERD, IDEF0/1X/3, DFD, сети Петри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Клиентские границы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 технических специальностей; S-02 аналитики; S-03 архитекторы и разработчики; S-04 преподаватели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Географические границы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 расчёта – Республика Беларусь; расширение – РФ и страны СНГ (русскоязычный интерфейс)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Канальные границы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 (Яндекс, Google), GitHub и Хабр, Telegram-сообщества и вузовские чаты, каталоги инструментов, рекомендации преподавателей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Заменители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PlantUML, Mermaid, D2 (бесплатные DSL), draw.io, Lucidchart (GUI), Ramus, BPwin, Sparx EA (CASE), ручное рисование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Исключения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Исполняемые BPMN-движки, облачные архитектурные диаграммы C4/сети, обучение нотациям как услуга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Единица потенциального клиента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Пользователь (B2C) и специалист-пользователь в организации (B2B)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Тип модели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Подписка SaaS (freemium), не платформа сделок – GMV не применяется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Формулировка рынка: рынок онлайн-сервисов текстового моделирования в строгих нотациях для учебных и профессиональных задач русскоязычной ИТ-аудитории с ядром в Республике Беларусь.</w:t>
      </w:r>
    </w:p>
    <w:bookmarkEnd w:id="22"/>
    <w:bookmarkStart w:id="24" w:name="оценка-через-поисковый-спрос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2.3 Оценка через поисковый спрос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Семантическое ядро NotaCode разделено по намерениям с весами коммерческой близости по методике [11] (таблица 4). Взвешенный спрос считается по формуле 2.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Взвешенный спрос = частотность × Kрелевантности × Kкоммерческой близости × Kрегиональный (2)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частотность – показов в месяц по Яндекс Вордстат (регион Беларусь); коэффициенты – экспертные, по таблице методики.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4 – Семантическое ядро NotaCode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Запрос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Группа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Намерение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Kрел.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Kкомм.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GT (Worldwide, 5 лет)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инструментальная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диаграмма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инструментальная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dfd диаграмма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инструментальная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 онлайн редактор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инструментальная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 диаграмма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инструментальная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смешанное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брендовая (конкурент)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смешанное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 to diagram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инструментальная (AI)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смешанное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 as code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информационное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пример курсовая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учебная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информационно-проблемное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что такое uml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исключаемая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информационное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Динамика интереса по реальным данным Google Trends показана на рисунке 1: интерес к категории (PlantUML) вырос с 16 пунктов (сентябрь 2021) до 53 пунктов (декабрь 2024), то есть на (53 − 16) / 16 × 100 ≈ 231 %; в конце декабря ежегодно наблюдается спад на 38–53 % (сезонность), с лета 2025 года резко растёт запрос «text to diagram», а связанный запрос «text to diagram ai» имеет статус Breakout. Беларусь входит в топ-5 стран по интересу к PlantUML [9].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09_google_trend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 – Динамика интереса Google Trends к PlantUML и «text to diagram»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Перевод поискового спроса в выручку выполняется воронкой (формула 3) с параметрами: доля переходов 4 / 6 / 10 %, конверсия в регистрацию 2 / 4 / 6 %, конверсия Free → Pro 2 / 3 / 5 %, годовой чек 72 / 120 / 144 BYN, коэффициент продлений 1 / 1,1 / 1,2.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Выручка, BYN/год = взвешенный спрос × доля переходов × CR_рег × CR_Pro × чек × Kпродл × 12 (3)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Абсолютная частотность есть только в Яндекс Вордстат, который требует входа по Яндекс ID. 🔲 ДОСНЯТЬ: частотность 10 запросов таблицы 4 и помесячная динамика четырёх групп за 12 месяцев (регион Беларусь). Поэтому в этой версии отчёта метод поискового спроса используется качественно: он подтверждает наличие и рост интереса, а денежная оценка будет получена после внесения данных на лист «Ввод_NotaCode» (модуль VBA NC1_PoiskSpros, скрипт nc_model.py, функция search_demand). Google Trends не используется как абсолютный объём [1].</w:t>
      </w:r>
    </w:p>
    <w:bookmarkEnd w:id="24"/>
    <w:bookmarkStart w:id="25" w:name="данные-similarweb-по-конкурентам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2.4 Данные Similarweb по конкурентам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бесплатному доступу Similarweb зафиксированы 4 домена (таблица 5). Показатель «визиты» – Total Visits за последний месяц окна «последние 3 месяца», география не фильтровалась. Релевантный трафик считается по формуле 4.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Релевантный трафик_i = визиты_i × доля РФ/РБ_i × доля категории_i (4)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5 – Конкуренты по данным Similarweb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Домен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Визиты/мес.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Доля РФ/РБ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Доля категории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Релевантный трафик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Доля, %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plantuml.com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(DSL)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507 000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0,0907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45 985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70,6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app.diagrams.net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заменитель (GUI)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7 800 000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15 600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24,0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(DSL + AI)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678 500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3 393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5,2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mermaidchart.com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(платный Mermaid)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20 000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Итого</w:t>
            </w:r>
          </w:p>
        </w:tc>
        <w:tc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9 005 500</w:t>
            </w:r>
          </w:p>
        </w:tc>
        <w:tc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65 117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100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Ограничения: трафик plantuml.com – нижняя оценка аудитории PlantUML, так как большинство пользователей рендерят диаграммы локально (плагины IDE, CLI, CI/CD); данные SW модельные; выборка из 4 доменов меньше требуемых 5–15 [12]. 🔲 ДОСНЯТЬ: mermaid.live, dbdiagram.io, lucidchart.com, gleek.io; каналы plantuml.com и mermaidchart.com; доля Беларуси в трафике.</w:t>
      </w:r>
    </w:p>
    <w:bookmarkEnd w:id="25"/>
    <w:bookmarkStart w:id="26" w:name="расчёт-сверху-вниз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2.5 Расчёт «сверху вниз»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Расчёт стартует от внешнего агрегата – оборота ИТ-сектора Беларуси – и сужается коэффициентами (формула 5).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Объём = ВВП × Dит × K × Kдевтулс × Kмодел × Kdac × Kнот (5)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ВВП = 78,59 млрд USD; Dит = 0,061; K = 3,00 BYN/USD; Kдевтулс – доля расходов ИТ-сектора на инструменты разработки (1,5 / 2 / 2,5 %); Kмодел – доля инструментов моделирования и диаграмм (4 / 5 / 6 %); Kdac – доля web/diagram-as-code сегмента (5 / 10 / 15 %); Kнот – доля нотаций, покрываемых NotaCode (50 / 60 / 70 %).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Оборот ИТ-сектора = 78,59 × 0,061 = 4,794 млрд USD = 14,382 млрд BYN. TAM (рынок инструментов моделирования, базовый) = 14 381 970 000 × 0,02 × 0,05 = 14 381 970 BYN ≈ 4,79 млн USD. SAM = 14 381 970 × 0,10 × 0,60 = 862 918 BYN (таблица 6).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6 – Расчёт «сверху вниз», BYN в год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Осторожный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Базовый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Оптимистичный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TAM: инструменты моделирования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8 629 182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14 381 970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21 572 955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SAM: diagram-as-code × нотации NotaCode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215 730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862 918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2 265 160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SOM: SAM × 1 / 3 / 7 %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2 157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25 888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158 561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 даёт верхний ориентир масштаба; все четыре коэффициента сужения – экспертные и являются главным источником неопределённости.</w:t>
      </w:r>
    </w:p>
    <w:bookmarkEnd w:id="26"/>
    <w:bookmarkStart w:id="28" w:name="X858c7f13a3813a1292ff44734431e3d0a154cf2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2.6 Расчёт «снизу вверх» через количество потенциальных клиентов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Использован шаблон методики потенциальных клиентов [10] (формулы 6–8).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TAM = Σ (клиенты_i × чек_i × частота_i) (6)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SAM = Σ (клиенты_i × Kграниц_i × Kпотр_i × Kонлайн_i × Kплат_i × чек_i × частота_i) (7)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SOM = SAM × достижимая доля (8)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7 – Сегменты NotaCode (базовый сценарий)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9"/>
        <w:gridCol w:w="723"/>
        <w:gridCol w:w="1070"/>
        <w:gridCol w:w="1417"/>
        <w:gridCol w:w="839"/>
        <w:gridCol w:w="1138"/>
        <w:gridCol w:w="1301"/>
        <w:gridCol w:w="607"/>
        <w:gridCol w:w="607"/>
      </w:tblGrid>
      <w:tr>
        <w:tc>
          <w:tcPr>
            <w:tcW w:type="dxa" w:w="16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Сегмент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Всего</w:t>
            </w:r>
          </w:p>
        </w:tc>
        <w:tc>
          <w:tcPr>
            <w:tcW w:type="dxa" w:w="1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 границах</w:t>
            </w:r>
          </w:p>
        </w:tc>
        <w:tc>
          <w:tcPr>
            <w:tcW w:type="dxa" w:w="1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Потребность</w:t>
            </w:r>
          </w:p>
        </w:tc>
        <w:tc>
          <w:tcPr>
            <w:tcW w:type="dxa" w:w="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Онлайн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Готовы платить Pro</w:t>
            </w:r>
          </w:p>
        </w:tc>
        <w:tc>
          <w:tcPr>
            <w:tcW w:type="dxa" w:w="1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Адресуемые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Чек, BYN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SAM, BYN</w:t>
            </w:r>
          </w:p>
        </w:tc>
      </w:tr>
      <w:tr>
        <w:tc>
          <w:tcPr>
            <w:tcW w:type="dxa" w:w="16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 ИТ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28 000</w:t>
            </w:r>
          </w:p>
        </w:tc>
        <w:tc>
          <w:tcPr>
            <w:tcW w:type="dxa" w:w="1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 → 19 600</w:t>
            </w:r>
          </w:p>
        </w:tc>
        <w:tc>
          <w:tcPr>
            <w:tcW w:type="dxa" w:w="1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</w:t>
            </w:r>
          </w:p>
        </w:tc>
        <w:tc>
          <w:tcPr>
            <w:tcW w:type="dxa" w:w="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0,03</w:t>
            </w:r>
          </w:p>
        </w:tc>
        <w:tc>
          <w:tcPr>
            <w:tcW w:type="dxa" w:w="1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423,4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72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30 482</w:t>
            </w:r>
          </w:p>
        </w:tc>
      </w:tr>
      <w:tr>
        <w:tc>
          <w:tcPr>
            <w:tcW w:type="dxa" w:w="16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 аналитики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2 000</w:t>
            </w:r>
          </w:p>
        </w:tc>
        <w:tc>
          <w:tcPr>
            <w:tcW w:type="dxa" w:w="1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 → 1 600</w:t>
            </w:r>
          </w:p>
        </w:tc>
        <w:tc>
          <w:tcPr>
            <w:tcW w:type="dxa" w:w="1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</w:t>
            </w:r>
          </w:p>
        </w:tc>
        <w:tc>
          <w:tcPr>
            <w:tcW w:type="dxa" w:w="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0,10</w:t>
            </w:r>
          </w:p>
        </w:tc>
        <w:tc>
          <w:tcPr>
            <w:tcW w:type="dxa" w:w="1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86,4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120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10 368</w:t>
            </w:r>
          </w:p>
        </w:tc>
      </w:tr>
      <w:tr>
        <w:tc>
          <w:tcPr>
            <w:tcW w:type="dxa" w:w="16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 архитекторы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3 000</w:t>
            </w:r>
          </w:p>
        </w:tc>
        <w:tc>
          <w:tcPr>
            <w:tcW w:type="dxa" w:w="1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 → 1 800</w:t>
            </w:r>
          </w:p>
        </w:tc>
        <w:tc>
          <w:tcPr>
            <w:tcW w:type="dxa" w:w="1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</w:t>
            </w:r>
          </w:p>
        </w:tc>
        <w:tc>
          <w:tcPr>
            <w:tcW w:type="dxa" w:w="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0,08</w:t>
            </w:r>
          </w:p>
        </w:tc>
        <w:tc>
          <w:tcPr>
            <w:tcW w:type="dxa" w:w="1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64,8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120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7 776</w:t>
            </w:r>
          </w:p>
        </w:tc>
      </w:tr>
      <w:tr>
        <w:tc>
          <w:tcPr>
            <w:tcW w:type="dxa" w:w="16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S-04 преподаватели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315</w:t>
            </w:r>
          </w:p>
        </w:tc>
        <w:tc>
          <w:tcPr>
            <w:tcW w:type="dxa" w:w="1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 → 252</w:t>
            </w:r>
          </w:p>
        </w:tc>
        <w:tc>
          <w:tcPr>
            <w:tcW w:type="dxa" w:w="1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</w:t>
            </w:r>
          </w:p>
        </w:tc>
        <w:tc>
          <w:tcPr>
            <w:tcW w:type="dxa" w:w="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0,10</w:t>
            </w:r>
          </w:p>
        </w:tc>
        <w:tc>
          <w:tcPr>
            <w:tcW w:type="dxa" w:w="1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15,9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120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1 905</w:t>
            </w:r>
          </w:p>
        </w:tc>
      </w:tr>
      <w:tr>
        <w:tc>
          <w:tcPr>
            <w:tcW w:type="dxa" w:w="16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Итого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33 315</w:t>
            </w:r>
          </w:p>
        </w:tc>
        <w:tc>
          <w:tcPr>
            <w:tcW w:type="dxa" w:w="1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23 252</w:t>
            </w:r>
          </w:p>
        </w:tc>
        <w:tc>
          <w:tcPr>
            <w:tcW w:type="dxa" w:w="1418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839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138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590,4</w:t>
            </w:r>
          </w:p>
        </w:tc>
        <w:tc>
          <w:tcPr>
            <w:tcW w:type="dxa" w:w="608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50 531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Пример для S-01: 28 000 × 0,7 × 0,8 × 0,9 × 0,03 × 72 = 30 482 BYN. TAM = 28 000 × 72 + 2 000 × 120 + 3 000 × 120 + 315 × 120 = 2 653 800 BYN; SOM = 50 531 × 0,03 = 1 516 BYN (около 13 платящих пользователей). Сценарии получены множителями шаблона (потребность, онлайн-готовность, платёжеспособность, чек, частота: 0,75 / 0,8 / 0,75 / 0,8 / 0,8 и 1,2 / 1,15 / 1,2 / 1,15 / 1,1) и долями 1 / 3 / 7 % (таблица 8, рисунок 2).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8 – TAM / SAM / SOM методом потенциальных клиентов, BYN в год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Сценарий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TAM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SAM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SOM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Осторожный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1 698 432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14 553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146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2 653 800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50 531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1 516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Оптимистичный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3 357 057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105 854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7 410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96333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01_tam_sam_som_scenari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2 – TAM, SAM и SOM NotaCode по сценариям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Проверка через Similarweb (лист 05_Similarweb шаблона): годовая «выручка конкурентов» при тех же конверсиях – 17 951 BYN, отношение SOM / SW-ориентир = 1 516 / 17 951 = 8,4 %, то есть SOM не превышает цифровой ориентир и реалистичен.</w:t>
      </w:r>
    </w:p>
    <w:bookmarkEnd w:id="28"/>
    <w:bookmarkStart w:id="31" w:name="цифровая-воронка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2.7 Цифровая воронка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собственных каналов NotaCode составлен план охвата первого года (продукт не запущен, все значения – допущения; таблица 9). Выручка считается по формуле 9.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Выручка = Σ(охват × CTR × Kрел) × Kреализации × CR_рег × CR_Pro × чек × Kпродл × 12 (9)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9 – Каналы NotaCode (план, в месяц)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Канал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Охват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CTR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Посещения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Доля релевантных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Релевантные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Органический поиск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30 000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1 500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1 050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Платный поиск (Директ)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10 000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320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Соцсети и Telegram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40 000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GitHub, Хабр, каталоги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5 000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трафик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240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AlternativeTo, Product Hunt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3 000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54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Рекомендации преподавателей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2 000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Итого</w:t>
            </w:r>
          </w:p>
        </w:tc>
        <w:tc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3 040</w:t>
            </w:r>
          </w:p>
        </w:tc>
        <w:tc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2 129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Базовый сценарий (рисунок 3): 2 129 × 0,8 = 1 703 посещения → × 0,04 = 68,1 регистрации в месяц (817 в год) → × 0,03 = 2,04 подписки Pro в месяц (24,5 в год) → × 120 BYN × 12 = 2 943 BYN в год. Осторожный: 2 129 × 0,6 × 0,02 × 0,02 × 72 × 12 = 441 BYN; оптимистичный: 2 129 × 1,0 × 0,06 × 0,05 × 144 × 1,2 × 12 = 13 244 BYN (рисунок 4).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4891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03_voronka_bazovyj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3 – Цифровая воронка NotaCode, базовый сценарий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80034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04_voronka_scenari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4 – Годовая выручка цифровой воронки по сценариям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Проверка надёжности: целевой KPI NotaCode (1 500 регистраций × 3 % = 45 платящих × 12 BYN × 12 = 6 480 BYN) выше базового сценария воронки в 2,2 раза и достигается только в оптимистичном сценарии; расчётный трафик (2 129 визитов) не превышает релевантный трафик конкурентов (65 117), то есть воронка не завышена.</w:t>
      </w:r>
    </w:p>
    <w:bookmarkEnd w:id="31"/>
    <w:bookmarkStart w:id="32" w:name="маркетплейсы-и-цифровые-платформы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2.8 Маркетплейсы и цифровые платформы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маркетплейсов [13] применяется, если рынок выражен через площадки или бизнес является платформой. NotaCode – подписочный SaaS без сделок между сторонами, поэтому GMV и комиссия не рассчитываются (листы 07_Платформа_GMV и 05_Платформа обнулены с пометкой «не применимо»). Каталоги инструментов (AlternativeTo, Product Hunt) и GitHub учтены как канал привлечения в воронке. Товарных маркетплейсов для этого рынка нет; отзывы в каталогах могут использоваться после запуска для проверки через формулу «продажи = отзывы / доля оставляющих отзыв».</w:t>
      </w:r>
    </w:p>
    <w:bookmarkEnd w:id="32"/>
    <w:bookmarkStart w:id="37" w:name="оценка-по-данным-similarweb-лр2-и-лр3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2.9 Оценка по данным Similarweb (ЛР2 и ЛР3)</w:t>
      </w:r>
    </w:p>
    <w:bookmarkStart w:id="33" w:name="сценарная-оценка-с-similarweb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2.9.1 Сценарная оценка с Similarweb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шаблону сценарной оценки [12] релевантный трафик с учётом коммерческой доли 0,35 и качества трафика (0,8 / 0,7) составил 17 682 визита в месяц. Рыночный трафик считается по формуле 10.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Трафик рынка = I × Kохвата неучтённых × Kнадёжности × Kнедоступного спроса, Kохвата = 1 / охват (10)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 Kохвата = 1,25 / 1,67 / 2,22, надёжности 0,75 / 0,9 / 1 и корректировке 0,8 / 1 / 1,15 рыночный трафик – 159 138 / 318 275 / 542 247 визитов в год; SAM (продажи × чек) – 4 583 / 45 832 / 234 251 BYN; SOM – 46 / 1 375 / 16 398 BYN в год.</w:t>
      </w:r>
    </w:p>
    <w:bookmarkEnd w:id="33"/>
    <w:bookmarkStart w:id="34" w:name="объём-рынка-по-шаблону-similarweb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2.9.2 Объём рынка по шаблону Similarweb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шаблону «Объём рынка по данным Similarweb» наблюдаемый релевантный трафик равен 65 117 визитам в месяц (после исправления ошибки шаблона, раздел 2.12; с ошибкой было бы 19 133), весь цифровой трафик рынка при охвате 0,6 – 108 529 визитов. Рынок в год – 28 131 / 187 538 / 750 152 BYN, SOM – 281 / 5 626 / 52 511 BYN. Шаблон не содержит множителя коммерческой доли, поэтому это верхняя граница метода.</w:t>
      </w:r>
    </w:p>
    <w:bookmarkEnd w:id="34"/>
    <w:bookmarkStart w:id="36" w:name="X3b1f076834bcdc0d008a363fdf71a37dff505de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2.9.3 Методики ЛР3: цифровой объём и концентрация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методике М2 ЛР3 [3] цифровой объём аудитории рассчитывается формулами 11–13.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V_sample = Σ визиты_i = 9 005 500 визитов в месяц (11)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V_geo = Σ визиты_i × доля РФ/РБ_i = 130 970; с учётом доли категории – 65 117 (12)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V_total = V_geo / Kохвата = 65 117 / 0,6 = 108 529 (13)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Kохвата – коэффициент охвата выборки: 0,80–0,90 – плотная выборка, 0,60–0,75 – типичная, 0,40–0,55 – фрагментированный рынок, ниже 0,40 – разведочный ориентир. Для NotaCode выбрано 0,80 / 0,60 / 0,45. В методике М2 осторожному сценарию соответствует низкий охват, что при делении увеличивает рынок; в работе принята логика «осторожный – меньший рынок» (как в Excel-шаблоне), противоречие зафиксировано в приложении Б.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Концентрация цифрового внимания оценена по формулам 14–15 [2], [3].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CR3 = d1 + d2 + d3 = 70,6 + 24,0 + 5,2 = 99,8 %; CR5 = 100 % (в выборке 4 домена) (14)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HHI = Σ d_i² = 70,6² + 24,0² + 5,2² + 0,2² ≈ 5 588 (15)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d_i – доля домена в релевантном трафике, %. HHI выше 2 500, то есть концентрация высокая; по сырому мировому трафику HHI = 7 590 (доминирует draw.io). Вывод: цифровое внимание русскоязычной аудитории сосредоточено у бесплатного PlantUML, вход требует сильного отличия (профили IDEF0/DFD/сети Петри, валидация) и узкой специализации (рисунок 5).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08510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07_similarweb_doli_hh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5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5 – Доли цифрового внимания и индекс HHI по данным Similarweb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Денежная оценка по М2 (коммерческая доля 20 / 35 / 50 %): 108 529 × 0,35 = 37 985 коммерческих визитов → × 0,04 × 0,03 = 45,6 подписки Pro в месяц → × 120 × 12 = 65 638 BYN в год (осторожный 5 626, оптимистичный 375 076); SOM = 56 / 1 969 / 26 255 BYN. Итоговая модель М1 [2]: TAM цифрового внимания = 9 005 500 визитов/мес.; SAM по географии = 130 970; SAM по каналу (без прямого трафика) = 51 002; SOM по трафику = 51 002 × 0,03 = 1 530 визитов/мес.; SOM по выручке = 1 530 × 0,04 × 0,03 × 120 × 12 = 2 644 BYN в год.</w:t>
      </w:r>
    </w:p>
    <w:bookmarkEnd w:id="36"/>
    <w:bookmarkEnd w:id="37"/>
    <w:bookmarkStart w:id="39" w:name="проверка-платёжеспособности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2.10 Проверка платёжеспособности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Проверка выполнена по методике [14] (таблица 10). Индекс платёжеспособности и коэффициент оправданности покупки рассчитываются по формулам 16–17.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Индекс = доступный бюджет в месяц / цена Pro в месяц (16)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Kоправд = экономия времени в деньгах / цена Pro = часы × ставка × доля экономии / 12 (17)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10 – Платёжеспособность и экономическая оправданность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Сегмент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Бюджет, BYN/мес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Эффект, BYN/мес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Kоправд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ROI за год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 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достаточная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 ч × 5 × 0,4 = 40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 аналитики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 ч × 25 × 0,4 = 100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8,33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7,33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 архитекторы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 ч × 35 × 0,3 = 84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6,00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S-04 преподаватели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 ч × 15 × 0,3 = 27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Среднее</w:t>
            </w:r>
          </w:p>
        </w:tc>
        <w:tc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достаточная</w:t>
            </w:r>
          </w:p>
        </w:tc>
        <w:tc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4,23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Средний индекс 3,23 ≥ 1, поэтому автоматический вывод шаблона: «платёжеспособность сегментов в среднем достаточная» (рисунок 6). Для B2B-сегментов Kоправд &gt; 5 (премиальный потенциал), для преподавателей 2–5 (базовый коммерческий сегмент), для студентов – 3,33, но их бюджет пограничный. Ценовой коридор: 12 BYN в месяц в 4,4 раза ниже медианы Eraser Starter (52,5 BYN) и в 15 раз ниже Eraser Business (180 BYN); при этом бесплатные заменители (PlantUML, Mermaid, draw.io) задают нижнюю границу 0 BYN. Валовая маржа при себестоимости 3 BYN на платящего пользователя – (12 − 3) / 12 = 75 %. Платёжеспособный рынок – 12 734 / 50 531 / 104 599 BYN, достижимая выручка – 127 / 1 516 / 7 322 BYN в год.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036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08_platezhesposobno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6 – Индекс платёжеспособности и коэффициент оправданности по сегментам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Бюджеты, часы и ставки – допущения. 🔲 ДОСНЯТЬ: опрос не менее 30 респондентов сегментов S-01…S-04 (бизнес-цель BO-04), стипендия и доходы – по Белстату.</w:t>
      </w:r>
    </w:p>
    <w:bookmarkEnd w:id="39"/>
    <w:bookmarkStart w:id="43" w:name="сценарии-и-сверка-методов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2.11 Сценарии и сверка методов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Результаты всех методов сведены на уровне SOM (достижимая выручка первого года) и SAM (таблицы 11, 12; рисунки 7, 8).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11 – Сверка методов: SOM, BYN в год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Метод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Осторожный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Базовый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Оптимистичный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Цифровая воронка (каналы NotaCode)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441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2 943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13 244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Потенциальные клиенты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1 516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7 410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Платёжеспособность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1 516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7 322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Сценарная Similarweb → воронка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1 375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16 398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ЛР3: методика Similarweb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1 969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26 255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Объём по шаблону Similarweb (без коммерческой доли)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5 626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52 511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Сверху вниз от ВВП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2 157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25 888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158 561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90525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05_sravnenie_so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7 – Сверка методов по достижимой выручке (SOM)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12 – Сверка методов: SAM (объём доступного рынка), BYN в год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Метод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Осторожный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Базовый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Оптимистичный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Потенциальные клиенты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14 553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50 531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105 854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Снизу вверх (шаблон, × 0,6 / 1 / 1,4)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30 319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50 531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70 743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SW + воронка (шаблон «сверху/снизу»)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5 669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23 435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67 561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Сценарная Similarweb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4 583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45 832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234 251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ЛР3: методика Similarweb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5 626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65 638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375 076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Сверху вниз от ВВП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215 730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862 918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2 265 160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2004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06_sravnenie_s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8 – Сверка методов по объёму доступного рынка (SAM)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Согласование по правилам инструкции [1]: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«сверху вниз» ≫ «снизу вверх» (862 918 против 50 531, в 17 раз). Причина – не ёмкость, а уровень цены и границы: агрегат включает корпоративные лицензии CASE-средств и GUI-редакторов, а расчёт «снизу вверх» оценивает подписки по 12 BYN; к тому же четыре коэффициента сужения экспертные. Поэтому «сверху вниз» используется как верхний ориентир, а не как прогноз;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пять независимых методов (воронка, потенциальные клиенты, платёжеспособность, две SW-модели с коммерческой долей) дают сопоставимый базовый SOM 1,4–2,9 тыс. BYN – оценка устойчива;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трафик конкурентов высок, а коммерческий поисковый спрос пока не измерен (Вордстат) – проверить после снятия;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воронка даёт малый объём при большом TAM – ограничение в канале и конверсии Free → Pro, а не в ёмкости рынка;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разброс сценариев велик (от десятков BYN до 16 тыс. BYN) – нужны реальные конверсии после запуска MVP.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TAM/SAM/SOM по базовому сценарию разными методами сведены на рисунке 9.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69507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Рисунки/fig02_tam_sam_som_voronk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9 – Воронка TAM → SAM → SOM, базовый сценарий</w:t>
      </w:r>
    </w:p>
    <w:bookmarkEnd w:id="43"/>
    <w:bookmarkStart w:id="44" w:name="исправление-ошибок-excel-шаблонов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2.12 Исправление ошибок Excel-шаблонов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 заполнении шаблонов найдены и исправлены ошибки формул (исправления выполняют VBA-модули, приложение А):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цифровой воронки, лист 03_Конкуренты_SW: ячейки C12 и C14 делили на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‘</w:t>
      </w:r>
      <w:r>
        <w:rPr>
          <w:rFonts w:ascii="Times New Roman" w:hAnsi="Times New Roman"/>
          <w:color w:val="000000"/>
          <w:sz w:val="28"/>
        </w:rPr>
        <w:t xml:space="preserve">01_Параметры</w:t>
      </w:r>
      <w:r>
        <w:rPr>
          <w:rFonts w:ascii="Times New Roman" w:hAnsi="Times New Roman"/>
          <w:color w:val="000000"/>
          <w:sz w:val="28"/>
        </w:rPr>
        <w:t xml:space="preserve">’</w:t>
      </w:r>
      <w:r>
        <w:rPr>
          <w:rFonts w:ascii="Times New Roman" w:hAnsi="Times New Roman"/>
          <w:color w:val="000000"/>
          <w:sz w:val="28"/>
        </w:rPr>
        <w:t xml:space="preserve">!B12 (целевая доля релевантного трафика) вместо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‘</w:t>
      </w:r>
      <w:r>
        <w:rPr>
          <w:rFonts w:ascii="Times New Roman" w:hAnsi="Times New Roman"/>
          <w:color w:val="000000"/>
          <w:sz w:val="28"/>
        </w:rPr>
        <w:t xml:space="preserve">01_Параметры</w:t>
      </w:r>
      <w:r>
        <w:rPr>
          <w:rFonts w:ascii="Times New Roman" w:hAnsi="Times New Roman"/>
          <w:color w:val="000000"/>
          <w:sz w:val="28"/>
        </w:rPr>
        <w:t xml:space="preserve">’</w:t>
      </w:r>
      <w:r>
        <w:rPr>
          <w:rFonts w:ascii="Times New Roman" w:hAnsi="Times New Roman"/>
          <w:color w:val="000000"/>
          <w:sz w:val="28"/>
        </w:rPr>
        <w:t xml:space="preserve">!B13 (коэффициент покрытия конкурентов). При доле 0,35 выручка сегмента составила бы 321 494 BYN вместо корректных 187 538 BYN (C14 = 9 377 / 0,6 × 12);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«Объём рынка по Similarweb»: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‘</w:t>
      </w:r>
      <w:r>
        <w:rPr>
          <w:rFonts w:ascii="Times New Roman" w:hAnsi="Times New Roman"/>
          <w:color w:val="000000"/>
          <w:sz w:val="28"/>
        </w:rPr>
        <w:t xml:space="preserve">01_Параметры</w:t>
      </w:r>
      <w:r>
        <w:rPr>
          <w:rFonts w:ascii="Times New Roman" w:hAnsi="Times New Roman"/>
          <w:color w:val="000000"/>
          <w:sz w:val="28"/>
        </w:rPr>
        <w:t xml:space="preserve">’</w:t>
      </w:r>
      <w:r>
        <w:rPr>
          <w:rFonts w:ascii="Times New Roman" w:hAnsi="Times New Roman"/>
          <w:color w:val="000000"/>
          <w:sz w:val="28"/>
        </w:rPr>
        <w:t xml:space="preserve">!B9 и B10 суммировали G5:G24 и H5:H24, пропуская первого конкурента в строке 4. Для NotaCode это дало бы 19 133 вместо 65 117 визитов (потеря plantuml.com – 71 % трафика). Исправлено на G4:G23 и H4:H23;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платёжеспособности, лист 06_Сценарии: ссылка на пустую строку сегмента возвращала 0 вместо пустого значения, из-за чего возникала ошибка #ЗНАЧ! в итогах; столбец A заменён формулой с проверкой пустоты;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сценарный шаблон, лист 06_Сверка: «Рекомендуемый диапазон» склеивал числа без округления – заменено на TEXT(…;</w:t>
      </w:r>
      <w:r>
        <w:rPr>
          <w:rFonts w:ascii="Times New Roman" w:hAnsi="Times New Roman"/>
          <w:color w:val="000000"/>
          <w:sz w:val="28"/>
        </w:rPr>
        <w:t xml:space="preserve">“</w:t>
      </w:r>
      <w:r>
        <w:rPr>
          <w:rFonts w:ascii="Times New Roman" w:hAnsi="Times New Roman"/>
          <w:color w:val="000000"/>
          <w:sz w:val="28"/>
        </w:rPr>
        <w:t xml:space="preserve">0</w:t>
      </w:r>
      <w:r>
        <w:rPr>
          <w:rFonts w:ascii="Times New Roman" w:hAnsi="Times New Roman"/>
          <w:color w:val="000000"/>
          <w:sz w:val="28"/>
        </w:rPr>
        <w:t xml:space="preserve">”</w:t>
      </w:r>
      <w:r>
        <w:rPr>
          <w:rFonts w:ascii="Times New Roman" w:hAnsi="Times New Roman"/>
          <w:color w:val="000000"/>
          <w:sz w:val="28"/>
        </w:rPr>
        <w:t xml:space="preserve">); демо-значения строк 7–9 заменены результатами методов NotaCode.</w:t>
      </w:r>
    </w:p>
    <w:bookmarkEnd w:id="44"/>
    <w:bookmarkStart w:id="45" w:name="итоговая-оценка-объёма-рынка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2.13 Итоговая оценка объёма рынка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Итоговый диапазон сформирован по правилу: нижняя граница – минимум осторожных расчётов, верхняя – максимум проверенных базовых и оптимистичных; «сверху вниз» и шаблон без коммерческой доли используются только как верхние ориентиры (таблица 13).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13 – Итоговая оценка рынка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72"/>
        <w:gridCol w:w="3127"/>
        <w:gridCol w:w="1332"/>
        <w:gridCol w:w="3822"/>
      </w:tblGrid>
      <w:tr>
        <w:tc>
          <w:tcPr>
            <w:tcW w:type="dxa" w:w="10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</w:t>
            </w:r>
          </w:p>
        </w:tc>
        <w:tc>
          <w:tcPr>
            <w:tcW w:type="dxa" w:w="31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Диапазон, BYN в год</w:t>
            </w:r>
          </w:p>
        </w:tc>
        <w:tc>
          <w:tcPr>
            <w:tcW w:type="dxa" w:w="1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≈ USD в год</w:t>
            </w:r>
          </w:p>
        </w:tc>
        <w:tc>
          <w:tcPr>
            <w:tcW w:type="dxa" w:w="38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Основание</w:t>
            </w:r>
          </w:p>
        </w:tc>
      </w:tr>
      <w:tr>
        <w:tc>
          <w:tcPr>
            <w:tcW w:type="dxa" w:w="10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TAM</w:t>
            </w:r>
          </w:p>
        </w:tc>
        <w:tc>
          <w:tcPr>
            <w:tcW w:type="dxa" w:w="31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2,65–14,38 млн (сценарно 1,70–21,57 млн)</w:t>
            </w:r>
          </w:p>
        </w:tc>
        <w:tc>
          <w:tcPr>
            <w:tcW w:type="dxa" w:w="1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0,88–4,79 млн</w:t>
            </w:r>
          </w:p>
        </w:tc>
        <w:tc>
          <w:tcPr>
            <w:tcW w:type="dxa" w:w="38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снизу вверх (все пользователи × Pro) – сверху вниз (инструменты моделирования в ИТ-секторе РБ)</w:t>
            </w:r>
          </w:p>
        </w:tc>
      </w:tr>
      <w:tr>
        <w:tc>
          <w:tcPr>
            <w:tcW w:type="dxa" w:w="10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SAM</w:t>
            </w:r>
          </w:p>
        </w:tc>
        <w:tc>
          <w:tcPr>
            <w:tcW w:type="dxa" w:w="31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 23–66 тыс. (сценарно 4,6–375 тыс.); верхний ориентир 0,86 млн</w:t>
            </w:r>
          </w:p>
        </w:tc>
        <w:tc>
          <w:tcPr>
            <w:tcW w:type="dxa" w:w="1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7,8–21,9 тыс.</w:t>
            </w:r>
          </w:p>
        </w:tc>
        <w:tc>
          <w:tcPr>
            <w:tcW w:type="dxa" w:w="38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потенциальные клиенты, платёжеспособность, три SW-модели</w:t>
            </w:r>
          </w:p>
        </w:tc>
      </w:tr>
      <w:tr>
        <w:tc>
          <w:tcPr>
            <w:tcW w:type="dxa" w:w="10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SOM (1-й год)</w:t>
            </w:r>
          </w:p>
        </w:tc>
        <w:tc>
          <w:tcPr>
            <w:tcW w:type="dxa" w:w="31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 1,4–2,9 тыс. (сценарно 0,05–26 тыс.)</w:t>
            </w:r>
          </w:p>
        </w:tc>
        <w:tc>
          <w:tcPr>
            <w:tcW w:type="dxa" w:w="1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460–980</w:t>
            </w:r>
          </w:p>
        </w:tc>
        <w:tc>
          <w:tcPr>
            <w:tcW w:type="dxa" w:w="38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воронка, потенциальные клиенты, платёжеспособность, две SW-модели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Базовый SOM соответствует 12–25 платящим пользователям Pro в год, оптимистичный – до 90–180. Вывод по универсальному шаблону инструкции [1]: в рамках исследования рынок определён как рынок онлайн-сервисов текстового моделирования в строгих нотациях для студентов, преподавателей, аналитиков и архитекторов русскоязычного сегмента с ядром в Республике Беларусь. Анализ поискового спроса показал устойчивый рост интереса к категории (PlantUML +231 % за 2021–2024 годы, Беларусь в топ-5 стран) и структурный рост AI-запросов («text to diagram»); коммерчески значимыми являются запросы «idef0 онлайн», «uml диаграмма онлайн», «dfd диаграмма онлайн»; есть регулярный декабрьский спад. Данные Similarweb указывают на цифровую активность при высокой концентрации (HHI 5 588, лидер – бесплатный PlantUML). Расчёт «сверху вниз» дал верхний ориентир 0,86 млн BYN (SAM), расчёт «снизу вверх» – 50,5 тыс. BYN. Цифровая воронка показала достижимую выручку 0,4–13,2 тыс. BYN в год. Платёжеспособность достаточная (индекс 3,23, ROI &gt; 1 во всех сегментах), цена 12 BYN в 4,4 раза ниже медианы коммерческих аналогов. Поэтому доступный рынок оценивается в 23–66 тыс. BYN в год, а достижимая выручка первого года – 1,4–2,9 тыс. BYN. Расчёт требует проверки через Вордстат, расширенную выборку Similarweb, опрос целевых сегментов и тестовые продажи после выпуска MVP.</w:t>
      </w:r>
    </w:p>
    <w:bookmarkEnd w:id="45"/>
    <w:bookmarkEnd w:id="46"/>
    <w:bookmarkStart w:id="47" w:name="выводы"/>
    <w:p>
      <w:pPr>
        <w:pStyle w:val="Heading1"/>
        <w:keepNext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ВЫВОДЫ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работе выполнена оценка объёма рынка для NotaCode – web-IDE класса «diagram as code» для формальных нотаций – по полному комплексу методик ЛР2 и двум дополнительным методикам ЛР3 по данным Similarweb. Сначала зафиксированы границы рынка: подписка Pro на онлайн-сервис моделирования в строгих нотациях для студентов, преподавателей, аналитиков и архитекторов, ядро – Республика Беларусь, расширение – русскоязычный сегмент РФ и СНГ. Единицей клиента выбран пользователь, модель – подписочный SaaS, поэтому платформенная GMV-модель признана неприменимой. Цена Pro 4 USD в месяц пересчитана в 12 BYN по курсу-допущению 3,00 BYN/USD на 25.09.2026; годовой чек задан сценарно: 72, 120 и 144 BYN.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Объём рынка рассчитан несколькими независимыми методами. Расчёт «сверху вниз» от ВВП Беларуси (78,59 млрд USD) и доли ИТ-сектора (6,1 %) дал TAM рынка инструментов моделирования 14,4 млн BYN и SAM diagram-as-code сегмента 0,86 млн BYN. Расчёт «снизу вверх» через 33 315 потенциальных пользователей (студенты ИТ-специальностей, специалисты ПВТ, преподаватели 21 вуза) дал TAM 2,65 млн BYN, SAM 50,5 тыс. BYN и SOM 1,5 тыс. BYN. Цифровая воронка по плану каналов первого года дала 441 / 2 943 / 13 244 BYN в год. Similarweb-модели (сценарная, шаблон объёма рынка и методика ЛР3 с формулой V_total = V_geo / коэффициент охвата) дали SAM 4,6–375 тыс. BYN в зависимости от сценария. Методика ЛР3 также показала, что цифровое внимание сильно сконцентрировано: CR3 = 99,8 %, HHI = 5 588 при пороге высокой концентрации 2 500, а лидер – бесплатный PlantUML. Это означает, что вход возможен только через дифференциацию – профили IDEF0, IDEF3, DFD и сети Петри, валидацию правил нотации и кросс-подсветку, которых нет у PlantUML и Mermaid.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Сверка методов показала, что пять независимых расчётов дают близкий базовый SOM 1,4–2,9 тыс. BYN в год (12–25 платящих пользователей), а «сверху вниз» превышает «снизу вверх» в 17 раз. По правилам согласования инструкции это объясняется уровнем цены и шириной агрегата (корпоративные лицензии CASE-средств и GUI-редакторов), а не ошибкой; поэтому «сверху вниз» использован как верхний ориентир. Проверка платёжеспособности подтвердила коммерческую реализуемость: средний индекс платёжеспособности 3,23, коэффициент оправданности покупки 2,25–8,33, валовая маржа 75 %. Наиболее платёжеспособны сегменты S-02 и S-03, а массовый сегмент студентов даёт основную аудиторию Free, но пограничный бюджет.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 сформулирован диапазоном: TAM 2,65–14,38 млн BYN, SAM 23–66 тыс. BYN, SOM первого года 1,4–2,9 тыс. BYN в год. Важный практический вывод: целевой KPI NotaCode (1 500 регистраций и 45 платящих пользователей, 6 480 BYN в год) выше базовых оценок рынка в 2–4 раза и достижим только в оптимистичном сценарии – при выходе на русскоязычную аудиторию РФ и СНГ и конверсии Free → Pro не ниже 5 %. Дополнительно найдены и исправлены четыре ошибки Excel-шаблонов, две из которых существенно искажали результат (потеря 71 % трафика и завышение выручки сегмента в 1,7 раза). Ограничения работы: не сняты данные Яндекс Вордстат, выборка Similarweb содержит 4 домена вместо 5–15, коэффициенты сужения, конверсии и бюджеты являются допущениями. Следующий шаг – снять Вордстат, расширить выборку Similarweb, провести опрос не менее 30 респондентов и после выпуска MVP (06.12.2026) заменить допущения фактическими конверсиями.</w:t>
      </w:r>
    </w:p>
    <w:bookmarkEnd w:id="47"/>
    <w:bookmarkStart w:id="48" w:name="список-использованных-источников"/>
    <w:p>
      <w:pPr>
        <w:pStyle w:val="Heading1"/>
        <w:keepNext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СПИСОК ИСПОЛЬЗОВАННЫХ ИСТОЧНИКОВ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Инструкция по применению методик оценки рынка электронного бизнеса [Электронный ресурс] : методические материалы к ЛР2 по дисциплине «Электронный бизнес». – БГУИР, 2026. – Дата доступа: 25.09.2026.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оценки объёма рынка электронного бизнеса по данным Similarweb [Электронный ресурс] : методические материалы к ЛР3. – БГУИР, 2026. – Дата доступа: 25.09.2026.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оценки рынка электронного бизнеса на основе данных Similarweb [Электронный ресурс] : методические материалы к ЛР3. – БГУИР, 2026. – Дата доступа: 25.09.2026.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Belarus GDP 1990–2024 [Электронный ресурс]. – Режим доступа: https://www.macrotrends.net/global-metrics/countries/BLR/belarus/gdp-gross-domestic-product. – Дата доступа: 17.09.2026.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Belarus IT Industry in 2026 [Электронный ресурс]. – Режим доступа: https://opencompanyinbelarus.com. – Дата доступа: 17.09.2026.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Образование в Беларуси [Электронный ресурс]. – Режим доступа: https://www.belarus.by. – Дата доступа: 17.09.2026.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Similarweb. Website Traffic Checker [Электронный ресурс]. – Режим доступа: https://www.similarweb.com/website/. – Дата доступа: 23.09.2026.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Eraser. Pricing [Электронный ресурс]. – Режим доступа: https://www.eraser.io/pricing. – Дата доступа: 17.09.2026.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 [Электронный ресурс]. – Режим доступа: https://trends.google.com/. – Дата доступа: 17.09.2026.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Оценка объёма рынка через количество потенциальных клиентов для анализа электронного бизнеса (тема1.docx) и Excel-шаблон к ней [Электронный ресурс]. – БГУИР, 2026. – Дата доступа: 25.09.2026.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оценки рынка через поисковый спрос и Excel-шаблон к ней [Электронный ресурс]. – БГУИР, 2026. – Дата доступа: 25.09.2026.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сценарной оценки рынка с данными Similarweb; методика «сверху вниз» и «снизу вверх» с Similarweb; методика Similarweb при бесплатном доступе [Электронный ресурс]. – БГУИР, 2026. – Дата доступа: 25.09.2026.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оценки рынка через маркетплейсы и цифровые платформы [Электронный ресурс]. – БГУИР, 2026. – Дата доступа: 25.09.2026.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проверки рынка через платёжеспособность и Excel-шаблон к ней [Электронный ресурс]. – БГУИР, 2026. – Дата доступа: 25.09.2026.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Национальный банк Республики Беларусь. Официальные курсы [Электронный ресурс]. – Режим доступа: https://www.nbrb.by/statistics/rates/ratesdaily. – Дата доступа: 25.09.2026.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Similarweb Knowledge Center. Similarweb Data Methodology [Электронный ресурс]. – Режим доступа: https://support.similarweb.com/hc/en-us/articles/360001631538-Similarweb-Data-Methodology. – Дата доступа: 25.09.2026.</w:t>
      </w:r>
    </w:p>
    <w:bookmarkEnd w:id="48"/>
    <w:bookmarkStart w:id="49" w:name="Xe8d8cf9387bcacf0f63d17fbe95c3a16440f37b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А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(обязательное)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Программная реализация расчётов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Расчёты выполнены в двух независимых реализациях с одинаковыми входными данными.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 – VBA-модули (папка VBA)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61"/>
        <w:gridCol w:w="4894"/>
        <w:gridCol w:w="2400"/>
      </w:tblGrid>
      <w:tr>
        <w:tc>
          <w:tcPr>
            <w:tcW w:type="dxa" w:w="2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Модуль</w:t>
            </w:r>
          </w:p>
        </w:tc>
        <w:tc>
          <w:tcPr>
            <w:tcW w:type="dxa" w:w="4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Шаблон из папки «Материалы»</w:t>
            </w:r>
          </w:p>
        </w:tc>
        <w:tc>
          <w:tcPr>
            <w:tcW w:type="dxa" w:w="2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делает</w:t>
            </w:r>
          </w:p>
        </w:tc>
      </w:tr>
      <w:tr>
        <w:tc>
          <w:tcPr>
            <w:tcW w:type="dxa" w:w="2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NC1_PoiskSpros</w:t>
            </w:r>
          </w:p>
        </w:tc>
        <w:tc>
          <w:tcPr>
            <w:tcW w:type="dxa" w:w="4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shablon_excel_ocenka_rynka_cherez_poiskovyy_spros.xlsx</w:t>
            </w:r>
          </w:p>
        </w:tc>
        <w:tc>
          <w:tcPr>
            <w:tcW w:type="dxa" w:w="2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Семантическое ядро, реальные данные Google Trends, лист «Ввод_NotaCode» для Вордстат, сценарии воронки</w:t>
            </w:r>
          </w:p>
        </w:tc>
      </w:tr>
      <w:tr>
        <w:tc>
          <w:tcPr>
            <w:tcW w:type="dxa" w:w="2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NC2_Voronka</w:t>
            </w:r>
          </w:p>
        </w:tc>
        <w:tc>
          <w:tcPr>
            <w:tcW w:type="dxa" w:w="4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shablon_excel_metodika_ocenki_rynka_cherez_cifrovuyu_voronku.xlsx</w:t>
            </w:r>
          </w:p>
        </w:tc>
        <w:tc>
          <w:tcPr>
            <w:tcW w:type="dxa" w:w="2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План каналов, Similarweb, исправление C12/C14 (B12 → B13), обнуление GMV</w:t>
            </w:r>
          </w:p>
        </w:tc>
      </w:tr>
      <w:tr>
        <w:tc>
          <w:tcPr>
            <w:tcW w:type="dxa" w:w="2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NC3_PotencKlienty</w:t>
            </w:r>
          </w:p>
        </w:tc>
        <w:tc>
          <w:tcPr>
            <w:tcW w:type="dxa" w:w="4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shablon_excel_…_kolichestvo_potencialnyh_klientov.xlsx</w:t>
            </w:r>
          </w:p>
        </w:tc>
        <w:tc>
          <w:tcPr>
            <w:tcW w:type="dxa" w:w="2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Сегменты S-01…S-04, TAM/SAM/SOM, доли 1/3/7 %, проверка Similarweb</w:t>
            </w:r>
          </w:p>
        </w:tc>
      </w:tr>
      <w:tr>
        <w:tc>
          <w:tcPr>
            <w:tcW w:type="dxa" w:w="2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NC4_Platezhesposobnost</w:t>
            </w:r>
          </w:p>
        </w:tc>
        <w:tc>
          <w:tcPr>
            <w:tcW w:type="dxa" w:w="4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shablon_excel_metodika_proverki_rynka_cherez_platezhesposobnost.xlsx</w:t>
            </w:r>
          </w:p>
        </w:tc>
        <w:tc>
          <w:tcPr>
            <w:tcW w:type="dxa" w:w="2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Ценовой коридор (Eraser), экономика покупки, индекс, исправление 06_Сценарии</w:t>
            </w:r>
          </w:p>
        </w:tc>
      </w:tr>
      <w:tr>
        <w:tc>
          <w:tcPr>
            <w:tcW w:type="dxa" w:w="2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NC5_SverkhuSnizu</w:t>
            </w:r>
          </w:p>
        </w:tc>
        <w:tc>
          <w:tcPr>
            <w:tcW w:type="dxa" w:w="4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shablon_excel_metodika_sverhu_vniz_snizu_vverh_similarweb.xlsx</w:t>
            </w:r>
          </w:p>
        </w:tc>
        <w:tc>
          <w:tcPr>
            <w:tcW w:type="dxa" w:w="2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«Сверху вниз» от ВВП, «снизу вверх», SW-воронка, сверка трёх методов</w:t>
            </w:r>
          </w:p>
        </w:tc>
      </w:tr>
      <w:tr>
        <w:tc>
          <w:tcPr>
            <w:tcW w:type="dxa" w:w="2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NC6_ScenarSW</w:t>
            </w:r>
          </w:p>
        </w:tc>
        <w:tc>
          <w:tcPr>
            <w:tcW w:type="dxa" w:w="4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shablon_excel_scenarnaya_ocenka_rynka_s_similarweb.xlsx</w:t>
            </w:r>
          </w:p>
        </w:tc>
        <w:tc>
          <w:tcPr>
            <w:tcW w:type="dxa" w:w="2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Сценарная SW-оценка, сверка всех методов на листе 06_Сверка</w:t>
            </w:r>
          </w:p>
        </w:tc>
      </w:tr>
      <w:tr>
        <w:tc>
          <w:tcPr>
            <w:tcW w:type="dxa" w:w="2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NC7_ObemSW</w:t>
            </w:r>
          </w:p>
        </w:tc>
        <w:tc>
          <w:tcPr>
            <w:tcW w:type="dxa" w:w="4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metodika_ocenki_obema_rynka_po_similarweb.xlsx</w:t>
            </w:r>
          </w:p>
        </w:tc>
        <w:tc>
          <w:tcPr>
            <w:tcW w:type="dxa" w:w="2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Исправление B9/B10 (G4:G23), данные SW, лист «NotaCode_ЛР3» (V_total, CR3, CR5, HHI)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Каждый модуль содержит процедуру Main, работает с активной книгой-копией шаблона, находит листы по префиксу «01_», «02_» и т. д., помечает ячейки «ДОСНЯТЬ» (оранжевая заливка и примечание) и «(допущение)», пересчитывает книгу и создаёт лист «NotaCode_Итог» с диаграммой. Русские строки записаны транслитом и декодируются функцией R(), поэтому макросы работают при любой кодовой странице Windows. Фрагмент исправления ошибки шаблона воронки:</w:t>
      </w:r>
    </w:p>
    <w:p>
      <w:pPr>
        <w:pStyle w:val="SourceCode"/>
        <w:keepNext w:val="0"/>
        <w:spacing w:before="0" w:after="0" w:lineRule="exact" w:line="360"/>
        <w:ind w:firstLine="709"/>
        <w:jc w:val="both"/>
      </w:pPr>
      <w:r>
        <w:rPr>
          <w:rStyle w:val="VerbatimChar"/>
          <w:rFonts w:ascii="Times New Roman" w:hAnsi="Times New Roman"/>
          <w:color w:val="000000"/>
          <w:sz w:val="28"/>
        </w:rPr>
        <w:t xml:space="preserve">c.Range("C12").Formula = "=C11/" &amp; Q(p) &amp; "B13"</w:t>
      </w:r>
      <w:r>
        <w:rPr>
          <w:rFonts w:ascii="Times New Roman" w:hAnsi="Times New Roman"/>
          <w:color w:val="000000"/>
          <w:sz w:val="28"/>
        </w:rPr>
        <w:br/>
      </w:r>
      <w:r>
        <w:rPr>
          <w:rStyle w:val="VerbatimChar"/>
          <w:rFonts w:ascii="Times New Roman" w:hAnsi="Times New Roman"/>
          <w:color w:val="000000"/>
          <w:sz w:val="28"/>
        </w:rPr>
        <w:t xml:space="preserve">c.Range("C14").Formula = "=C13/" &amp; Q(p) &amp; "B13*12"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А.2 – Python-скрипты (папка Python)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16"/>
        <w:gridCol w:w="3761"/>
        <w:gridCol w:w="3077"/>
      </w:tblGrid>
      <w:tr>
        <w:tc>
          <w:tcPr>
            <w:tcW w:type="dxa" w:w="2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Скрипт</w:t>
            </w:r>
          </w:p>
        </w:tc>
        <w:tc>
          <w:tcPr>
            <w:tcW w:type="dxa" w:w="3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Назначение</w:t>
            </w:r>
          </w:p>
        </w:tc>
        <w:tc>
          <w:tcPr>
            <w:tcW w:type="dxa" w:w="3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Результат</w:t>
            </w:r>
          </w:p>
        </w:tc>
      </w:tr>
      <w:tr>
        <w:tc>
          <w:tcPr>
            <w:tcW w:type="dxa" w:w="2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nc_model.py</w:t>
            </w:r>
          </w:p>
        </w:tc>
        <w:tc>
          <w:tcPr>
            <w:tcW w:type="dxa" w:w="3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Единая модель: повторяет формулы всех 7 шаблонов, «сверху вниз» от ВВП, методики ЛР3</w:t>
            </w:r>
          </w:p>
        </w:tc>
        <w:tc>
          <w:tcPr>
            <w:tcW w:type="dxa" w:w="3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Таблицы в консоли, results_notacode.json</w:t>
            </w:r>
          </w:p>
        </w:tc>
      </w:tr>
      <w:tr>
        <w:tc>
          <w:tcPr>
            <w:tcW w:type="dxa" w:w="2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01_tam_sam_som.py</w:t>
            </w:r>
          </w:p>
        </w:tc>
        <w:tc>
          <w:tcPr>
            <w:tcW w:type="dxa" w:w="3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TAM/SAM/SOM по сценариям и воронка TAM → SAM → SOM</w:t>
            </w:r>
          </w:p>
        </w:tc>
        <w:tc>
          <w:tcPr>
            <w:tcW w:type="dxa" w:w="3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Рисунки 2, 9</w:t>
            </w:r>
          </w:p>
        </w:tc>
      </w:tr>
      <w:tr>
        <w:tc>
          <w:tcPr>
            <w:tcW w:type="dxa" w:w="2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02_voronka.py</w:t>
            </w:r>
          </w:p>
        </w:tc>
        <w:tc>
          <w:tcPr>
            <w:tcW w:type="dxa" w:w="3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Цифровая воронка NotaCode</w:t>
            </w:r>
          </w:p>
        </w:tc>
        <w:tc>
          <w:tcPr>
            <w:tcW w:type="dxa" w:w="3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Рисунки 3, 4</w:t>
            </w:r>
          </w:p>
        </w:tc>
      </w:tr>
      <w:tr>
        <w:tc>
          <w:tcPr>
            <w:tcW w:type="dxa" w:w="2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03_sravnenie_metodov.py</w:t>
            </w:r>
          </w:p>
        </w:tc>
        <w:tc>
          <w:tcPr>
            <w:tcW w:type="dxa" w:w="3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Сверка методов, доли и HHI, платёжеспособность, Google Trends</w:t>
            </w:r>
          </w:p>
        </w:tc>
        <w:tc>
          <w:tcPr>
            <w:tcW w:type="dxa" w:w="3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Рисунки 1, 5–8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Запуск: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color w:val="000000"/>
          <w:sz w:val="28"/>
        </w:rPr>
        <w:t xml:space="preserve">python nc_model.py</w:t>
      </w:r>
      <w:r>
        <w:rPr>
          <w:rFonts w:ascii="Times New Roman" w:hAnsi="Times New Roman"/>
          <w:color w:val="000000"/>
          <w:sz w:val="28"/>
        </w:rPr>
        <w:t xml:space="preserve">, затем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color w:val="000000"/>
          <w:sz w:val="28"/>
        </w:rPr>
        <w:t xml:space="preserve">python 01_tam_sam_som.py</w:t>
      </w:r>
      <w:r>
        <w:rPr>
          <w:rFonts w:ascii="Times New Roman" w:hAnsi="Times New Roman"/>
          <w:color w:val="000000"/>
          <w:sz w:val="28"/>
        </w:rPr>
        <w:t xml:space="preserve">,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color w:val="000000"/>
          <w:sz w:val="28"/>
        </w:rPr>
        <w:t xml:space="preserve">python 02_voronka.py</w:t>
      </w:r>
      <w:r>
        <w:rPr>
          <w:rFonts w:ascii="Times New Roman" w:hAnsi="Times New Roman"/>
          <w:color w:val="000000"/>
          <w:sz w:val="28"/>
        </w:rPr>
        <w:t xml:space="preserve">,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color w:val="000000"/>
          <w:sz w:val="28"/>
        </w:rPr>
        <w:t xml:space="preserve">python 03_sravnenie_metodov.py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(PNG сохраняются в папку «Рисунки»).</w:t>
      </w:r>
    </w:p>
    <w:bookmarkEnd w:id="49"/>
    <w:bookmarkStart w:id="50" w:name="X1c5949c3eeaf29eb36a6749fb3522a4a9d389f2"/>
    <w:p>
      <w:pPr>
        <w:pStyle w:val="Heading1"/>
        <w:keepNext w:val="0"/>
        <w:pageBreakBefore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Б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(справочное)</w:t>
      </w:r>
    </w:p>
    <w:p>
      <w:pPr>
        <w:keepNext w:val="0"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Расчёты по методикам ЛР3 и журнал источников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Б.1 – Цифровой объём по методике М2 ЛР3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Осторожный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Базовый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Оптимистичный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V_sample, визитов/мес.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9 005 500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9 005 500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9 005 500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Релевантный V_geo, визитов/мес.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65 117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65 117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65 117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Коэффициент охвата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0,45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V_total, визитов/мес.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81 397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108 529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144 705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Коммерческая доля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20 %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35 %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50 %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Коммерческие визиты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16 279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37 985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72 353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Регистрации Free / мес.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325,6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1 519,4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4 341,2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Подписки Pro / мес.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6,5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45,6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217,1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Рынок, BYN/год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5 626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65 638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375 076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SOM, BYN/год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1 969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26 255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Противоречие шкал: в М2 осторожному сценарию соответствует охват 0,40–0,55 (0,45), оптимистичному – 0,80–0,90 (0,85). Поскольку V_total = V_geo / охват, такая шкала делает осторожный рынок больше оптимистичного по трафику. Excel-шаблон ЛР2 использует обратный порядок (0,8 / 0,7 / 0,55); в работе принято 0,80 / 0,60 / 0,45.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Б.2 – Журнал источников и выгрузок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0"/>
        <w:gridCol w:w="1449"/>
        <w:gridCol w:w="1449"/>
        <w:gridCol w:w="938"/>
        <w:gridCol w:w="938"/>
        <w:gridCol w:w="1030"/>
        <w:gridCol w:w="1396"/>
        <w:gridCol w:w="1121"/>
      </w:tblGrid>
      <w:tr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Дата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Запрос / сайт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Регион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Период</w:t>
            </w:r>
          </w:p>
        </w:tc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Настройки</w:t>
            </w:r>
          </w:p>
        </w:tc>
        <w:tc>
          <w:tcPr>
            <w:tcW w:type="dxa" w:w="13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зафиксировано</w:t>
            </w:r>
          </w:p>
        </w:tc>
        <w:tc>
          <w:tcPr>
            <w:tcW w:type="dxa" w:w="11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Ограничения</w:t>
            </w:r>
          </w:p>
        </w:tc>
      </w:tr>
      <w:tr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PlantUML, text to diagram, diagram as code, Mermaid.js, UML diagram generator, ERD tool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Worldwide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лет</w:t>
            </w:r>
          </w:p>
        </w:tc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категории, веб-поиск</w:t>
            </w:r>
          </w:p>
        </w:tc>
        <w:tc>
          <w:tcPr>
            <w:tcW w:type="dxa" w:w="13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динамика, регионы, связанные запросы</w:t>
            </w:r>
          </w:p>
        </w:tc>
        <w:tc>
          <w:tcPr>
            <w:tcW w:type="dxa" w:w="11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индекс 0–100</w:t>
            </w:r>
          </w:p>
        </w:tc>
      </w:tr>
      <w:tr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Яндекс Вордстат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 запросов таблицы 4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 мес.</w:t>
            </w:r>
          </w:p>
        </w:tc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устройства</w:t>
            </w:r>
          </w:p>
        </w:tc>
        <w:tc>
          <w:tcPr>
            <w:tcW w:type="dxa" w:w="13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аудитория Яндекса</w:t>
            </w:r>
          </w:p>
        </w:tc>
      </w:tr>
      <w:tr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plantuml.com, mermaidchart.com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страны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последние 3 мес.</w:t>
            </w:r>
          </w:p>
        </w:tc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 доступ</w:t>
            </w:r>
          </w:p>
        </w:tc>
        <w:tc>
          <w:tcPr>
            <w:tcW w:type="dxa" w:w="13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визиты, ранг, страны</w:t>
            </w:r>
          </w:p>
        </w:tc>
        <w:tc>
          <w:tcPr>
            <w:tcW w:type="dxa" w:w="11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оценочные данные</w:t>
            </w:r>
          </w:p>
        </w:tc>
      </w:tr>
      <w:tr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23.09.2026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eraser.io, app.diagrams.net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страны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последние 3 мес.</w:t>
            </w:r>
          </w:p>
        </w:tc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 доступ</w:t>
            </w:r>
          </w:p>
        </w:tc>
        <w:tc>
          <w:tcPr>
            <w:tcW w:type="dxa" w:w="13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визиты, каналы, вовлечённость, страны</w:t>
            </w:r>
          </w:p>
        </w:tc>
        <w:tc>
          <w:tcPr>
            <w:tcW w:type="dxa" w:w="11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оценочные данные</w:t>
            </w:r>
          </w:p>
        </w:tc>
      </w:tr>
      <w:tr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eraser.io/pricing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 дату</w:t>
            </w:r>
          </w:p>
        </w:tc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3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цены Starter, Business</w:t>
            </w:r>
          </w:p>
        </w:tc>
        <w:tc>
          <w:tcPr>
            <w:tcW w:type="dxa" w:w="11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цены USD</w:t>
            </w:r>
          </w:p>
        </w:tc>
      </w:tr>
      <w:tr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macrotrends, opencompanyinbelarus, belarus.by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ВВП, доля ИТ, ПВТ, выпускники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2024–2025</w:t>
            </w:r>
          </w:p>
        </w:tc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3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агрегаты</w:t>
            </w:r>
          </w:p>
        </w:tc>
        <w:tc>
          <w:tcPr>
            <w:tcW w:type="dxa" w:w="11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вторичные источники</w:t>
            </w:r>
          </w:p>
        </w:tc>
      </w:tr>
      <w:tr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nbrb.by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курс USD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дата сдачи</w:t>
            </w:r>
          </w:p>
        </w:tc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3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 расчёте 3,00</w:t>
            </w:r>
          </w:p>
        </w:tc>
      </w:tr>
    </w:tbl>
    <w:bookmarkEnd w:id="50"/>
    <w:sectPr>
      <w:footerReference w:type="default" r:id="rId9"/>
      <w:pgSz w:w="11906" w:h="16838"/>
      <w:pgMar w:left="1701" w:right="850" w:top="1134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71315dca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11">
    <w:nsid w:val="47261bad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cs="Times New Roman" w:eastAsia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Relationship Id="rId42" Type="http://schemas.openxmlformats.org/officeDocument/2006/relationships/image" Target="media/rId42.png"/><Relationship Id="rId29" Type="http://schemas.openxmlformats.org/officeDocument/2006/relationships/image" Target="media/rId29.png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41" Type="http://schemas.openxmlformats.org/officeDocument/2006/relationships/image" Target="media/rId41.png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23" Type="http://schemas.openxmlformats.org/officeDocument/2006/relationships/image" Target="media/rId2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2026-09-26T13:46:37Z</dcterms:created>
  <dcterms:modified xsi:type="dcterms:W3CDTF">2026-09-26T13:46:37Z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