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t xml:space="preserve">Министерство образования Республики Беларусь</w:t>
      </w:r>
    </w:p>
    <w:p>
      <w:pPr>
        <w:spacing w:after="120"/>
        <w:jc w:val="center"/>
      </w:pPr>
      <w:r>
        <w:t xml:space="preserve">Учреждение образования</w:t>
      </w:r>
    </w:p>
    <w:p>
      <w:pPr>
        <w:spacing w:after="200"/>
      </w:pPr>
    </w:p>
    <w:p>
      <w:pPr>
        <w:spacing w:after="120"/>
        <w:jc w:val="center"/>
      </w:pPr>
      <w:r>
        <w:rPr>
          <w:b/>
          <w:bCs/>
        </w:rPr>
        <w:t xml:space="preserve">БЕЛОРУССКИЙ ГОСУДАРСТВЕННЫЙ УНИВЕРСИТЕТ</w:t>
      </w:r>
    </w:p>
    <w:p>
      <w:pPr>
        <w:spacing w:after="120"/>
        <w:jc w:val="center"/>
      </w:pPr>
      <w:r>
        <w:rPr>
          <w:b/>
          <w:bCs/>
        </w:rPr>
        <w:t xml:space="preserve">ИНФОРМАТИКИ И РАДИОЭЛЕКТРОНИКИ</w:t>
      </w:r>
    </w:p>
    <w:p>
      <w:pPr>
        <w:spacing w:after="200"/>
      </w:pPr>
    </w:p>
    <w:p>
      <w:pPr>
        <w:spacing w:after="120"/>
        <w:jc w:val="center"/>
      </w:pPr>
      <w:r>
        <w:t xml:space="preserve">Факультет информационных технологий и управления</w:t>
      </w:r>
    </w:p>
    <w:p>
      <w:pPr>
        <w:spacing w:after="120"/>
        <w:jc w:val="center"/>
      </w:pPr>
      <w:r>
        <w:t xml:space="preserve">Кафедра информационных технологий автоматизированных систем</w:t>
      </w:r>
    </w:p>
    <w:p>
      <w:pPr>
        <w:spacing w:after="800"/>
      </w:pP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ОТЧЕТ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по лабораторным работам №1-7</w:t>
      </w:r>
    </w:p>
    <w:p>
      <w:pPr>
        <w:spacing w:after="120"/>
        <w:jc w:val="center"/>
      </w:pPr>
      <w:r>
        <w:rPr>
          <w:sz w:val="26"/>
          <w:szCs w:val="26"/>
        </w:rPr>
        <w:t xml:space="preserve">по дисциплине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«Электронный бизнес»</w:t>
      </w:r>
    </w:p>
    <w:p>
      <w:pPr>
        <w:spacing w:after="200"/>
      </w:pPr>
    </w:p>
    <w:p>
      <w:pPr>
        <w:spacing w:after="120"/>
        <w:jc w:val="center"/>
      </w:pPr>
      <w:r>
        <w:rPr>
          <w:i/>
          <w:iCs/>
        </w:rPr>
        <w:t xml:space="preserve">Объект анализа: сервис DiagramCode</w:t>
      </w:r>
    </w:p>
    <w:p>
      <w:pPr>
        <w:spacing w:after="10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4819"/>
          </w:tcPr>
          <w:p>
            <w:r>
              <w:t xml:space="preserve">Выполнила: ст. гр. 320604</w:t>
            </w:r>
          </w:p>
        </w:tc>
        <w:tc>
          <w:tcPr>
            <w:tcW w:type="dxa" w:w="4819"/>
          </w:tcPr>
          <w:p>
            <w:r>
              <w:t xml:space="preserve">Проверил(а): [ФИО преподавателя]</w:t>
            </w:r>
          </w:p>
        </w:tc>
      </w:tr>
      <w:tr>
        <w:tc>
          <w:tcPr>
            <w:tcW w:type="dxa" w:w="4819"/>
          </w:tcPr>
          <w:p>
            <w:r>
              <w:t xml:space="preserve">К. А. Хаджинова</w:t>
            </w:r>
          </w:p>
        </w:tc>
        <w:tc>
          <w:tcPr>
            <w:tcW w:type="dxa" w:w="4819"/>
          </w:tcPr>
          <w:p>
            <w:r>
              <w:t xml:space="preserve"/>
            </w:r>
          </w:p>
        </w:tc>
      </w:tr>
    </w:tbl>
    <w:p>
      <w:pPr>
        <w:spacing w:after="1200"/>
      </w:pPr>
    </w:p>
    <w:p>
      <w:pPr>
        <w:spacing w:after="120"/>
        <w:jc w:val="center"/>
      </w:pPr>
      <w:r>
        <w:t xml:space="preserve">Минск 2026</w:t>
      </w:r>
    </w:p>
    <w:p>
      <w:r>
        <w:br w:type="page"/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spacing w:after="200"/>
      </w:pPr>
    </w:p>
    <w:p>
      <w:pPr>
        <w:spacing w:after="100"/>
      </w:pPr>
      <w:r>
        <w:t xml:space="preserve">1  Резюме проекта</w:t>
      </w:r>
    </w:p>
    <w:p>
      <w:pPr>
        <w:spacing w:after="100"/>
      </w:pPr>
      <w:r>
        <w:t xml:space="preserve">2  Идея и исходная гипотеза</w:t>
      </w:r>
    </w:p>
    <w:p>
      <w:pPr>
        <w:spacing w:after="100"/>
      </w:pPr>
      <w:r>
        <w:t xml:space="preserve">3  Аргументация спроса: Google Trends и Яндекс Вордстат</w:t>
      </w:r>
    </w:p>
    <w:p>
      <w:pPr>
        <w:spacing w:after="100"/>
      </w:pPr>
      <w:r>
        <w:t xml:space="preserve">4  Границы и размер рынка</w:t>
      </w:r>
    </w:p>
    <w:p>
      <w:pPr>
        <w:spacing w:after="100"/>
      </w:pPr>
      <w:r>
        <w:t xml:space="preserve">5  Конкурентная среда и уровни конкуренции</w:t>
      </w:r>
    </w:p>
    <w:p>
      <w:pPr>
        <w:spacing w:after="100"/>
      </w:pPr>
      <w:r>
        <w:t xml:space="preserve">6  Барьеры входа и выхода</w:t>
      </w:r>
    </w:p>
    <w:p>
      <w:pPr>
        <w:spacing w:after="100"/>
      </w:pPr>
      <w:r>
        <w:t xml:space="preserve">7  Проблемы пользователей и рыночные пробелы</w:t>
      </w:r>
    </w:p>
    <w:p>
      <w:pPr>
        <w:spacing w:after="100"/>
      </w:pPr>
      <w:r>
        <w:t xml:space="preserve">8  Ценностное предложение и цифровой товар</w:t>
      </w:r>
    </w:p>
    <w:p>
      <w:pPr>
        <w:spacing w:after="100"/>
      </w:pPr>
      <w:r>
        <w:t xml:space="preserve">9  Бизнес-модель по Канвас</w:t>
      </w:r>
    </w:p>
    <w:p>
      <w:pPr>
        <w:spacing w:after="100"/>
      </w:pPr>
      <w:r>
        <w:t xml:space="preserve">10  Пользовательские сценарии</w:t>
      </w:r>
    </w:p>
    <w:p>
      <w:pPr>
        <w:spacing w:after="100"/>
      </w:pPr>
      <w:r>
        <w:t xml:space="preserve">11  Страницы, экраны, контент и функционал</w:t>
      </w:r>
    </w:p>
    <w:p>
      <w:pPr>
        <w:spacing w:after="100"/>
      </w:pPr>
      <w:r>
        <w:t xml:space="preserve">12  Первый и последующие релизы</w:t>
      </w:r>
    </w:p>
    <w:p>
      <w:pPr>
        <w:spacing w:after="100"/>
      </w:pPr>
      <w:r>
        <w:t xml:space="preserve">13  Решение о целесообразности старта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 РЕЗЮМЕ ПРОЕКТА</w:t>
      </w:r>
    </w:p>
    <w:p>
      <w:pPr>
        <w:spacing w:after="120"/>
      </w:pPr>
      <w:r>
        <w:t xml:space="preserve">Проект </w:t>
      </w:r>
      <w:r>
        <w:rPr>
          <w:b/>
          <w:bCs/>
        </w:rPr>
        <w:t xml:space="preserve">DiagramCode</w:t>
      </w:r>
      <w:r>
        <w:t xml:space="preserve"> — сервис визуального моделирования диаграмм через собственный текстовый DSL (UML, ERD, IDEF0/1X/3, DFD, BPMN, сети Петри) с git-подобным версионированием, AI-генерацией по тексту/изображению и совместным редактированием.</w:t>
      </w:r>
    </w:p>
    <w:p>
      <w:pPr>
        <w:spacing w:after="120"/>
      </w:pPr>
      <w:r>
        <w:t xml:space="preserve">Спрос подтверждается устойчивым многолетним ростом интереса к категории «диаграмма как код» и резким структурным сдвигом спроса в сторону AI-генерации диаграмм по тексту (раздел 3). Рынок старта — компании Парка высоких технологий Беларуси (более 1000 компаний) и русскоязычное IT-сообщество СНГ, достаточный для проверки бизнес-модели при базовом сценарии выручки $22 000-29 000/год (раздел 4). Конкурентная среда насыщенная (PlantUML, Mermaid, Eraser.io, D2), но ни один конкурент не закрывает полный охват инженерных нотаций в одном продукте — это ниша DiagramCode (разделы 5-7). Ценностное предложение — мгновенная, версионируемая диаграмма из DSL-кода или текста через AI (раздел 8), реализуемая по бизнес-модели с подпиской по местам и AI-квотой на тариф (раздел 9). Первый релиз — DSL-редактор + рендер + сохранение версий + нотация </w:t>
      </w:r>
      <w:r>
        <w:rPr>
          <w:rFonts w:ascii="Consolas" w:cs="Consolas" w:eastAsia="Consolas" w:hAnsi="Consolas"/>
        </w:rPr>
        <w:t xml:space="preserve">erd.crows_foot.logical</w:t>
      </w:r>
      <w:r>
        <w:t xml:space="preserve"> + аутентификация (раздел 12).</w:t>
      </w:r>
    </w:p>
    <w:p>
      <w:pPr>
        <w:spacing w:after="120"/>
      </w:pPr>
      <w:r>
        <w:rPr>
          <w:b/>
          <w:bCs/>
        </w:rPr>
        <w:t xml:space="preserve">Рекомендация</w:t>
      </w:r>
      <w:r>
        <w:t xml:space="preserve">: стартовать проект в границах русскоязычного IT-сообщества (ПВТ Беларусь + СНГ) с первым релизом в минимальном составе, поскольку подтверждены растущий спрос, достаточный для проверки размер рынка и незакрытый конкурентами пробел в охвате нотаций.</w:t>
      </w:r>
    </w:p>
    <w:p>
      <w:pPr>
        <w:pStyle w:val="Heading1"/>
        <w:spacing w:after="120" w:before="240"/>
      </w:pPr>
      <w:r>
        <w:t xml:space="preserve">2 ИДЕЯ И ИСХОДНАЯ ГИПОТЕЗА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Диаграммы либо теряют историю версий при хранении в визуальных редакторах (draw.io, Visio, Lucidchart), либо не имеют AI-генерации, полного охвата нотаций и совместного редактирования при хранении в существующих текстовых DSL-инструментах (PlantUML, Mermaid)</w:t>
            </w:r>
          </w:p>
        </w:tc>
      </w:tr>
      <w:tr>
        <w:tc>
          <w:tcPr>
            <w:tcW w:type="dxa" w:w="4819"/>
          </w:tcPr>
          <w:p>
            <w:r>
              <w:t xml:space="preserve">Клиент</w:t>
            </w:r>
          </w:p>
        </w:tc>
        <w:tc>
          <w:tcPr>
            <w:tcW w:type="dxa" w:w="4819"/>
          </w:tcPr>
          <w:p>
            <w:r>
              <w:t xml:space="preserve">Команды разработки ПО и техписатели, уже хранящие документацию в git-репозитории</w:t>
            </w:r>
          </w:p>
        </w:tc>
      </w:tr>
      <w:tr>
        <w:tc>
          <w:tcPr>
            <w:tcW w:type="dxa" w:w="4819"/>
          </w:tcPr>
          <w:p>
            <w:r>
              <w:t xml:space="preserve">Текущее решение</w:t>
            </w:r>
          </w:p>
        </w:tc>
        <w:tc>
          <w:tcPr>
            <w:tcW w:type="dxa" w:w="4819"/>
          </w:tcPr>
          <w:p>
            <w:r>
              <w:t xml:space="preserve">Визуальные GUI-редакторы (бинарный/XML-формат, не версионируется построчно) либо PlantUML/Mermaid (версионируются, но без AI и совместного редактирования)</w:t>
            </w:r>
          </w:p>
        </w:tc>
      </w:tr>
      <w:tr>
        <w:tc>
          <w:tcPr>
            <w:tcW w:type="dxa" w:w="4819"/>
          </w:tcPr>
          <w:p>
            <w:r>
              <w:t xml:space="preserve">Предлагаемое решение</w:t>
            </w:r>
          </w:p>
        </w:tc>
        <w:tc>
          <w:tcPr>
            <w:tcW w:type="dxa" w:w="4819"/>
          </w:tcPr>
          <w:p>
            <w:r>
              <w:t xml:space="preserve">Текстовый DSL + git-подобное версионирование + AI-генерация по тексту/изображению + IDE-оболочка + совместное редактирование, с полным охватом инженерных нотаций</w:t>
            </w:r>
          </w:p>
        </w:tc>
      </w:tr>
      <w:tr>
        <w:tc>
          <w:tcPr>
            <w:tcW w:type="dxa" w:w="4819"/>
          </w:tcPr>
          <w:p>
            <w:r>
              <w:t xml:space="preserve">Единица монетизации</w:t>
            </w:r>
          </w:p>
        </w:tc>
        <w:tc>
          <w:tcPr>
            <w:tcW w:type="dxa" w:w="4819"/>
          </w:tcPr>
          <w:p>
            <w:r>
              <w:t xml:space="preserve">Подписка по местам с AI-квотой на тариф</w:t>
            </w:r>
          </w:p>
        </w:tc>
      </w:tr>
      <w:tr>
        <w:tc>
          <w:tcPr>
            <w:tcW w:type="dxa" w:w="4819"/>
          </w:tcPr>
          <w:p>
            <w:r>
              <w:t xml:space="preserve">Гипотеза старта</w:t>
            </w:r>
          </w:p>
        </w:tc>
        <w:tc>
          <w:tcPr>
            <w:tcW w:type="dxa" w:w="4819"/>
          </w:tcPr>
          <w:p>
            <w:r>
              <w:t xml:space="preserve">Минимальный первый релиз (одна нотация ERD + рендер + сохранение + auth) достаточен для проверки готовности целевого сегмента платить за AI-квоту сверх бесплатного лимита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 АРГУМЕНТАЦИЯ СПРОСА: GOOGLE TRENDS И ЯНДЕКС ВОРДСТАТ</w:t>
      </w:r>
    </w:p>
    <w:p>
      <w:pPr>
        <w:spacing w:after="120"/>
      </w:pPr>
      <w:r>
        <w:t xml:space="preserve">Полный текст с данными — [лабораторная работа №1](../lab1-demand/lab1-demand.md).</w:t>
      </w:r>
    </w:p>
    <w:p>
      <w:pPr>
        <w:spacing w:after="120"/>
      </w:pPr>
      <w:r>
        <w:t xml:space="preserve">Реальные данные Google Trends (снято 17.09.2026, Worldwide, 5 лет):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— устойчивый рост среднего индекса интереса от ~15-20 (2021) до пиков 90-100 (середина 2026). Фраза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сдвиг: стабильный уровень 10-20 в 2021-2024 годах сменяется устойчивым подъёмом до 50-100 с июля-августа 2025 года — держится больше года, то есть это не сезонность и не разовый всплеск, а новый уровень тренда. Это прямое подтверждение спроса на AI-генерацию диаграммы по тексту — ключевую функцию DiagramCode.</w:t>
      </w:r>
    </w:p>
    <w:p>
      <w:pPr>
        <w:spacing w:after="120"/>
      </w:pPr>
      <w:r>
        <w:t xml:space="preserve">Яндекс Вордстат недоступен без личной авторизации в Яндекс ID (актуальное ограничение сервиса на 2026 год) — раздел не заполнен данными по русскоязычному сегменту напрямую; инструкция по самостоятельному снятию — в лабораторной работе №1, раздел 10.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поисковый спрос на категорию растёт, причём быстрее всего растёт именно AI-ориентированный сегмент внутри неё — это и есть рыночное основание идеи DiagramCode.</w:t>
      </w:r>
    </w:p>
    <w:p>
      <w:pPr>
        <w:pStyle w:val="Heading1"/>
        <w:spacing w:after="120" w:before="240"/>
      </w:pPr>
      <w:r>
        <w:t xml:space="preserve">4 ГРАНИЦЫ И РАЗМЕР РЫНКА</w:t>
      </w:r>
    </w:p>
    <w:p>
      <w:pPr>
        <w:spacing w:after="120"/>
      </w:pPr>
      <w:r>
        <w:t xml:space="preserve">Полный текст с расчётами — [лабораторная работа №2-3](../lab2-3-market-size/lab2-3-market-size.md).</w:t>
      </w:r>
    </w:p>
    <w:p>
      <w:pPr>
        <w:spacing w:after="120"/>
      </w:pPr>
      <w:r>
        <w:t xml:space="preserve">Границы рынка: продукт — DSL-инструменты для диаграмм с AI-генерацией; клиент — команды разработки ПО; география старта — русскоязычное IT-сообщество (Беларусь + СНГ); канал — поиск, GitHub, сообщества разработчиков.</w:t>
      </w:r>
    </w:p>
    <w:p>
      <w:pPr>
        <w:spacing w:after="120"/>
      </w:pPr>
      <w:r>
        <w:t xml:space="preserve">Реальные опорные данные: более 1000 компаний зарегистрировано в Парке высоких технологий Беларуси, свыше 40% — с иностранным капиталом (доля IT в ВВП Беларуси — 6,1% на I кв. 2025, источник: opencompanyinbelarus.com); ближайший прямой аналог </w:t>
      </w:r>
      <w:r>
        <w:rPr>
          <w:rFonts w:ascii="Consolas" w:cs="Consolas" w:eastAsia="Consolas" w:hAnsi="Consolas"/>
        </w:rPr>
        <w:t xml:space="preserve">plantuml.com</w:t>
      </w:r>
      <w:r>
        <w:t xml:space="preserve"> получает Россию как топ-страну трафика (9,07%), что подтверждает цифровую активность именно в целевом географическом сегменте; коммерческий продукт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почти не представлен в этом регионе (топ-страны — Вьетнам, Индонезия, США) — конкурентный пробел.</w:t>
      </w:r>
    </w:p>
    <w:p>
      <w:pPr>
        <w:spacing w:after="120"/>
      </w:pPr>
      <w:r>
        <w:t xml:space="preserve">Расчёт «сверху вниз» и «снизу вверх» дают согласованный диапазон </w:t>
      </w:r>
      <w:r>
        <w:rPr>
          <w:b/>
          <w:bCs/>
        </w:rPr>
        <w:t xml:space="preserve">$15 000-29 000/год</w:t>
      </w:r>
      <w:r>
        <w:t xml:space="preserve"> для стартового сегмента ПВТ Беларуси в осторожном/базовом сценарии, с потенциалом кратного роста при расширении на СНГ (оптимистичный сценарий — свыше $150 000/год).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рынок старта достаточен для проверки бизнес-модели минимальным первым релизом.</w:t>
      </w:r>
    </w:p>
    <w:p>
      <w:pPr>
        <w:pStyle w:val="Heading1"/>
        <w:spacing w:after="120" w:before="240"/>
      </w:pPr>
      <w:r>
        <w:t xml:space="preserve">5 КОНКУРЕНТНАЯ СРЕДА И УРОВНИ КОНКУРЕНЦИИ</w:t>
      </w:r>
    </w:p>
    <w:p>
      <w:pPr>
        <w:spacing w:after="120"/>
      </w:pPr>
      <w:r>
        <w:t xml:space="preserve">Полный текст — [лабораторная работа №5](../lab5-competitors/lab5-competitors.md).</w:t>
      </w:r>
    </w:p>
    <w:p>
      <w:pPr>
        <w:spacing w:after="120"/>
      </w:pPr>
      <w:r>
        <w:t xml:space="preserve">Прямые конкуренты (по взвешенной шкале методики): PlantUML, Mermaid (открытое ядро), MermaidChart (коммерческий), Eraser.io, D2. Близкий конкурент: D2. Заменители: draw.io/Lucidchart/Visio, ручное рисование, отказ от диаграмм.</w:t>
      </w:r>
    </w:p>
    <w:p>
      <w:pPr>
        <w:spacing w:after="120"/>
      </w:pPr>
      <w:r>
        <w:t xml:space="preserve">Рыночный стандарт цифрового товара: текстовый DSL + браузерный рендер без установки + интеграция с GitHub-экосистемой, к которому AI-генерация быстро добавляется как новый обязательный элемент (уже ядро продающего предложения у Eraser.io). </w:t>
      </w:r>
      <w:r>
        <w:rPr>
          <w:b/>
          <w:bCs/>
        </w:rPr>
        <w:t xml:space="preserve">Ни один прямой конкурент не закрывает весь набор инженерных нотаций (UML + ERD + IDEF0/1X/3 + DFD + BPMN + сети Петри) в одном продукте</w:t>
      </w:r>
      <w:r>
        <w:t xml:space="preserve"> — это конкурентный пробел для DiagramCode.</w:t>
      </w:r>
    </w:p>
    <w:p>
      <w:pPr>
        <w:pStyle w:val="Heading1"/>
        <w:spacing w:after="120" w:before="240"/>
      </w:pPr>
      <w:r>
        <w:t xml:space="preserve">6 БАРЬЕРЫ ВХОДА И ВЫХОДА</w:t>
      </w:r>
    </w:p>
    <w:p>
      <w:pPr>
        <w:spacing w:after="120"/>
      </w:pPr>
      <w:r>
        <w:t xml:space="preserve">Полный текст — [лабораторная работа №4](../lab4-porter/lab4-porter.md).</w:t>
      </w:r>
    </w:p>
    <w:p>
      <w:pPr>
        <w:spacing w:after="120"/>
      </w:pPr>
      <w:r>
        <w:t xml:space="preserve">Средневзвешенная оценка пяти сил Портера — </w:t>
      </w:r>
      <w:r>
        <w:rPr>
          <w:b/>
          <w:bCs/>
        </w:rPr>
        <w:t xml:space="preserve">4,0 из 5 (высокое конкурентное давление)</w:t>
      </w:r>
      <w:r>
        <w:t xml:space="preserve">, driven главным образом высокой силой покупателей (лёгкость сравнения с бесплатными PlantUML/Mermaid) и очень высокой угрозой заменителей, а не числом прямых конкурентов. Барьеры входа — доверительный (высокий, репутация с нуля против многолетнего PlantUML) и финансовый (высокий, растущие затраты на LLM API); барьеры выхода — низкие (инфраструктура на условно-бесплатных тарифах, архитектура нотаций переиспользуема).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вход на рынок возможен только при чёткой специализации (полный охват нотаций) — не через прямую конкуренцию по фиче-листу с Eraser.io.</w:t>
      </w:r>
    </w:p>
    <w:p>
      <w:pPr>
        <w:pStyle w:val="Heading1"/>
        <w:spacing w:after="120" w:before="240"/>
      </w:pPr>
      <w:r>
        <w:t xml:space="preserve">7 ПРОБЛЕМЫ ПОЛЬЗОВАТЕЛЕЙ И РЫНОЧНЫЕ ПРОБЕЛЫ</w:t>
      </w:r>
    </w:p>
    <w:p>
      <w:pPr>
        <w:spacing w:after="120"/>
      </w:pPr>
      <w:r>
        <w:t xml:space="preserve">Ключевая проблема (см. разделы 2, 5): команды либо теряют версионирование диаграмм (визуальные редакторы), либо не получают AI-генерацию и полный охват нотаций (существующие DSL-инструменты). Проблема имеет функциональный (нет единого инструмента для всех нотаций) и организационный (сложно поддерживать актуальность диаграмм вручную) характер.</w:t>
      </w:r>
    </w:p>
    <w:p>
      <w:pPr>
        <w:pStyle w:val="Heading1"/>
        <w:spacing w:after="120" w:before="240"/>
      </w:pPr>
      <w:r>
        <w:t xml:space="preserve">8 ЦЕННОСТНОЕ ПРЕДЛОЖЕНИЕ И ЦИФРОВОЙ ТОВАР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1.</w:t>
      </w:r>
    </w:p>
    <w:p>
      <w:pPr>
        <w:spacing w:after="120"/>
      </w:pPr>
      <w:r>
        <w:t xml:space="preserve">Для команд разработки, хранящих документацию в git, DiagramCode обеспечивает мгновенную, версионируемую инженерную диаграмму из DSL-кода или текста/изображения через AI, с полным охватом нотаций — в отличие от конкурентов, где выбор стоит между версионированием (PlantUML/Mermaid) и AI+полнотой фич (Eraser.io), но не тем и другим сразу. Единица монетизации — подписка по местам с AI-квотой на тариф.</w:t>
      </w:r>
    </w:p>
    <w:p>
      <w:pPr>
        <w:pStyle w:val="Heading1"/>
        <w:spacing w:after="120" w:before="240"/>
      </w:pPr>
      <w:r>
        <w:t xml:space="preserve">9 БИЗНЕС-МОДЕЛЬ ПО КАНВАС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2.</w:t>
      </w:r>
    </w:p>
    <w:p>
      <w:pPr>
        <w:spacing w:after="120"/>
      </w:pPr>
      <w:r>
        <w:t xml:space="preserve">Девять блоков бизнес-модели Канвас проверены на связность: сегмент (ПВТ-команды) ↔ ценность (DSL+AI+версии) ↔ товар (Волна 1 MVP) ↔ доход (AI-квота) ↔ каналы (органика через GitHub/поиск) ↔ ресурсы (реестр нотаций, </w:t>
      </w:r>
      <w:r>
        <w:rPr>
          <w:rFonts w:ascii="Consolas" w:cs="Consolas" w:eastAsia="Consolas" w:hAnsi="Consolas"/>
        </w:rPr>
        <w:t xml:space="preserve">AIProvider</w:t>
      </w:r>
      <w:r>
        <w:t xml:space="preserve">) ↔ затраты (переменные — LLM API). Главный экономический риск — рост затрат на AI быстрее роста платящей базы, контролируется квотой (20 запросов/день по умолчанию).</w:t>
      </w:r>
    </w:p>
    <w:p>
      <w:pPr>
        <w:pStyle w:val="Heading1"/>
        <w:spacing w:after="120" w:before="240"/>
      </w:pPr>
      <w:r>
        <w:t xml:space="preserve">10 ПОЛЬЗОВАТЕЛЬСКИЕ СЦЕНАРИИ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3. Ключевые сценарии первого релиза: регистрация → написание DSL → Run → сохранение версии; получение DSL-кода через AI-модалку по описанию/изображению.</w:t>
      </w:r>
    </w:p>
    <w:p>
      <w:pPr>
        <w:pStyle w:val="Heading1"/>
        <w:spacing w:after="120" w:before="240"/>
      </w:pPr>
      <w:r>
        <w:t xml:space="preserve">11 СТРАНИЦЫ, ЭКРАНЫ, КОНТЕНТ И ФУНКЦИОНАЛ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4. Состав первого релиза: экран логина, IDE-оболочка (редактор Monaco + канвас + нижняя панель Problems + статус-бар), модалка AI-ассистента, панель шаблонов нотаций, дропдаун сохранения (на устройство), встроенная документация.</w:t>
      </w:r>
    </w:p>
    <w:p>
      <w:pPr>
        <w:pStyle w:val="Heading1"/>
        <w:spacing w:after="120" w:before="240"/>
      </w:pPr>
      <w:r>
        <w:t xml:space="preserve">12 ПЕРВЫЙ И ПОСЛЕДУЮЩИЕ РЕЛИЗЫ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</w:tr>
      <w:tr>
        <w:tc>
          <w:tcPr>
            <w:tcW w:type="dxa" w:w="4819"/>
          </w:tcPr>
          <w:p>
            <w:r>
              <w:t xml:space="preserve">Первый (курсовой срез)</w:t>
            </w:r>
          </w:p>
        </w:tc>
        <w:tc>
          <w:tcPr>
            <w:tcW w:type="dxa" w:w="4819"/>
          </w:tcPr>
          <w:p>
            <w:r>
              <w:t xml:space="preserve">DSL-редактор + рендер + сохранение версий +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+ аутентификация</w:t>
            </w:r>
          </w:p>
        </w:tc>
      </w:tr>
      <w:tr>
        <w:tc>
          <w:tcPr>
            <w:tcW w:type="dxa" w:w="4819"/>
          </w:tcPr>
          <w:p>
            <w:r>
              <w:t xml:space="preserve">Второй</w:t>
            </w:r>
          </w:p>
        </w:tc>
        <w:tc>
          <w:tcPr>
            <w:tcW w:type="dxa" w:w="4819"/>
          </w:tcPr>
          <w:p>
            <w:r>
              <w:t xml:space="preserve">Остальные UML (use case/sequence/activity/state machine), IDEF3, DFD с декомпозицией, совместное редактирование, OAuth</w:t>
            </w:r>
          </w:p>
        </w:tc>
      </w:tr>
      <w:tr>
        <w:tc>
          <w:tcPr>
            <w:tcW w:type="dxa" w:w="4819"/>
          </w:tcPr>
          <w:p>
            <w:r>
              <w:t xml:space="preserve">Третий</w:t>
            </w:r>
          </w:p>
        </w:tc>
        <w:tc>
          <w:tcPr>
            <w:tcW w:type="dxa" w:w="4819"/>
          </w:tcPr>
          <w:p>
            <w:r>
              <w:t xml:space="preserve">Оставшиеся виды UML, IDEF1X отдельно от ERD</w:t>
            </w:r>
          </w:p>
        </w:tc>
      </w:tr>
      <w:tr>
        <w:tc>
          <w:tcPr>
            <w:tcW w:type="dxa" w:w="4819"/>
          </w:tcPr>
          <w:p>
            <w:r>
              <w:t xml:space="preserve">Четвёртый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достижимости, экспорт в нативные форматы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13 РЕШЕНИЕ О ЦЕЛЕСООБРАЗНОСТИ СТАРТА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Факт по проекту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3212"/>
          </w:tcPr>
          <w:p>
            <w:r>
              <w:t xml:space="preserve">Проблема подтверждена</w:t>
            </w:r>
          </w:p>
        </w:tc>
        <w:tc>
          <w:tcPr>
            <w:tcW w:type="dxa" w:w="3212"/>
          </w:tcPr>
          <w:p>
            <w:r>
              <w:t xml:space="preserve">Отсутствие инструмента с полным охватом нотаций+AI+версионированием одновременно (разделы 5, 7)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Спрос подтверждён</w:t>
            </w:r>
          </w:p>
        </w:tc>
        <w:tc>
          <w:tcPr>
            <w:tcW w:type="dxa" w:w="3212"/>
          </w:tcPr>
          <w:p>
            <w:r>
              <w:t xml:space="preserve">Устойчивый рост категории + структурный сдвиг к AI-генерации (раздел 3)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Рынок достаточен</w:t>
            </w:r>
          </w:p>
        </w:tc>
        <w:tc>
          <w:tcPr>
            <w:tcW w:type="dxa" w:w="3212"/>
          </w:tcPr>
          <w:p>
            <w:r>
              <w:t xml:space="preserve">$15 000-29 000/год базовый сценарий на старте, потенциал роста на СНГ (раздел 4)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Конкурентный пробел найден</w:t>
            </w:r>
          </w:p>
        </w:tc>
        <w:tc>
          <w:tcPr>
            <w:tcW w:type="dxa" w:w="3212"/>
          </w:tcPr>
          <w:p>
            <w:r>
              <w:t xml:space="preserve">Ни один конкурент не закрывает все нотации в одном продукте (раздел 5)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Ценность сформулирована</w:t>
            </w:r>
          </w:p>
        </w:tc>
        <w:tc>
          <w:tcPr>
            <w:tcW w:type="dxa" w:w="3212"/>
          </w:tcPr>
          <w:p>
            <w:r>
              <w:t xml:space="preserve">Раздел 8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Единица монетизации определена</w:t>
            </w:r>
          </w:p>
        </w:tc>
        <w:tc>
          <w:tcPr>
            <w:tcW w:type="dxa" w:w="3212"/>
          </w:tcPr>
          <w:p>
            <w:r>
              <w:t xml:space="preserve">Подписка с AI-квотой, подтверждена рынком (Eraser.io)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Первый релиз реалистичен</w:t>
            </w:r>
          </w:p>
        </w:tc>
        <w:tc>
          <w:tcPr>
            <w:tcW w:type="dxa" w:w="3212"/>
          </w:tcPr>
          <w:p>
            <w:r>
              <w:t xml:space="preserve">Уже архитектурно спроектирован и частично реализован (Волна 1)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Барьеры управляемы</w:t>
            </w:r>
          </w:p>
        </w:tc>
        <w:tc>
          <w:tcPr>
            <w:tcW w:type="dxa" w:w="3212"/>
          </w:tcPr>
          <w:p>
            <w:r>
              <w:t xml:space="preserve">Барьеры выхода низкие; барьеры входа требуют специализации, не капитала (раздел 6)</w:t>
            </w:r>
          </w:p>
        </w:tc>
        <w:tc>
          <w:tcPr>
            <w:tcW w:type="dxa" w:w="3212"/>
          </w:tcPr>
          <w:p>
            <w:r>
              <w:t xml:space="preserve">Да, при условии специализации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Итоговое решение: СТАРТОВАТЬ</w:t>
      </w:r>
      <w:r>
        <w:t xml:space="preserve"> проект DiagramCode в границах русскоязычного IT-сообщества (ПВТ Беларусь + СНГ) с первым релизом в минимальном составе (DSL-редактор + рендер + сохранение + </w:t>
      </w:r>
      <w:r>
        <w:rPr>
          <w:rFonts w:ascii="Consolas" w:cs="Consolas" w:eastAsia="Consolas" w:hAnsi="Consolas"/>
        </w:rPr>
        <w:t xml:space="preserve">erd.crows_foot.logical</w:t>
      </w:r>
      <w:r>
        <w:t xml:space="preserve"> + аутентификация), при условии удержания затрат на AI-провайдера в рамках заданной квоты до подтверждения платящей базы.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2026-09-17T20:16:55.385Z</dcterms:created>
  <dcterms:modified xsi:type="dcterms:W3CDTF">2026-09-17T20:16:55.387Z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