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ЛР4. Пять сил Портера (адаптировано для e-business) + барьеры входа/выхода</w:t>
      </w:r>
    </w:p>
    <w:p>
      <w:pPr>
        <w:spacing w:after="120"/>
      </w:pPr>
      <w:r>
        <w:t xml:space="preserve">Объект анализа: </w:t>
      </w:r>
      <w:r>
        <w:rPr>
          <w:b/>
          <w:bCs/>
        </w:rPr>
        <w:t xml:space="preserve">DiagramCode</w:t>
      </w:r>
      <w:r>
        <w:t xml:space="preserve"> в границах рынка, зафиксированных в ЛР1 (русскоязычные IT-команды, инструменты «диаграмма как код» с AI-генерацией).</w:t>
      </w:r>
    </w:p>
    <w:p>
      <w:pPr>
        <w:spacing w:after="120"/>
      </w:pPr>
      <w:r>
        <w:rPr>
          <w:i/>
          <w:iCs/>
        </w:rPr>
        <w:t xml:space="preserve">**Исправлено после ревизии совета**: (1) шкала матрицы приведена к строго дискретным 1/3/5, как того требует методика (в предыдущей версии стояли «4», не входящие в допустимую шкалу); (2) «средневзвешенная» переименована в «среднее» — весов в расчёте не было, это была ошибка терминологии; (3) цифровые факторы разложены на 6 отдельных признаков вместо одной смешанной строки; (4) добавлен отдельный SimilarWeb-скоринг барьеров по методике `metodika_ocenki_urovnya_konkurencii_i_barerov_vhoda_similarweb.docx` — раньше эта методика вообще не применялась; (5) барьеры входа приведены к перечню самой методики Портера (§7), а не к самодельному списку; (6) барьеры выхода вынесены как дополнение вне методики ЛР4, поскольку ни один из трёх исходных документов их не упоминает.</w:t>
      </w:r>
    </w:p>
    <w:p>
      <w:pPr>
        <w:pStyle w:val="Heading1"/>
        <w:spacing w:after="120" w:before="240"/>
      </w:pPr>
      <w:r>
        <w:t xml:space="preserve">1. Матрица пяти сил (шкала строго 1/3/5, методика `metodika_5_sil_portera_elektronnyy_biznes.docx`, §12)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Сила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Оценка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Обоснование (с реальными данными)</w:t>
            </w:r>
          </w:p>
        </w:tc>
      </w:tr>
      <w:tr>
        <w:tc>
          <w:tcPr>
            <w:tcW w:type="dxa" w:w="3212"/>
          </w:tcPr>
          <w:p>
            <w:r>
              <w:t xml:space="preserve">Конкуренция между существующими игроками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5 (высокая)</w:t>
            </w:r>
          </w:p>
        </w:tc>
        <w:tc>
          <w:tcPr>
            <w:tcW w:type="dxa" w:w="3212"/>
          </w:tcPr>
          <w:p>
            <w:r>
              <w:t xml:space="preserve">Категория заполнена: PlantUML (открытый, встроен в IDE/CI, устойчивый рост интереса — ЛР1), Mermaid (открытый + коммерческий MermaidChart), D2, Eraser.io (венчурный стартап с AI и полноценным прайсингом — см. ЛР2-3)</w:t>
            </w:r>
          </w:p>
        </w:tc>
      </w:tr>
      <w:tr>
        <w:tc>
          <w:tcPr>
            <w:tcW w:type="dxa" w:w="3212"/>
          </w:tcPr>
          <w:p>
            <w:r>
              <w:t xml:space="preserve">Угроза новых участников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5 (высокая)</w:t>
            </w:r>
          </w:p>
        </w:tc>
        <w:tc>
          <w:tcPr>
            <w:tcW w:type="dxa" w:w="3212"/>
          </w:tcPr>
          <w:p>
            <w:r>
              <w:t xml:space="preserve">Технический вход дешёвый (открытые парсер-генераторы, LLM API по подписке), особенно на фоне общего бума AI-инструментов для разработчиков. Реальный барьер — не технология, а доверие/сообщество/интеграции (GitHub, VS Code marketplace)</w:t>
            </w:r>
          </w:p>
        </w:tc>
      </w:tr>
      <w:tr>
        <w:tc>
          <w:tcPr>
            <w:tcW w:type="dxa" w:w="3212"/>
          </w:tcPr>
          <w:p>
            <w:r>
              <w:t xml:space="preserve">Сила покупателей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5 (высокая)</w:t>
            </w:r>
          </w:p>
        </w:tc>
        <w:tc>
          <w:tcPr>
            <w:tcW w:type="dxa" w:w="3212"/>
          </w:tcPr>
          <w:p>
            <w:r>
              <w:t xml:space="preserve">Разработчики легко переключаются между бесплатными альтернативами (PlantUML/Mermaid — открытый исходный код, $0). Издержки переключения растут только после накопления истории версий в DiagramCode</w:t>
            </w:r>
          </w:p>
        </w:tc>
      </w:tr>
      <w:tr>
        <w:tc>
          <w:tcPr>
            <w:tcW w:type="dxa" w:w="3212"/>
          </w:tcPr>
          <w:p>
            <w:r>
              <w:t xml:space="preserve">Сила поставщиков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3 (средняя)</w:t>
            </w:r>
          </w:p>
        </w:tc>
        <w:tc>
          <w:tcPr>
            <w:tcW w:type="dxa" w:w="3212"/>
          </w:tcPr>
          <w:p>
            <w:r>
              <w:t xml:space="preserve">Зависимость от LLM/VLM-провайдера и облачной инфраструктуры реальна, но частично снижена архитектурным решением: </w:t>
            </w:r>
            <w:r>
              <w:rPr>
                <w:rFonts w:ascii="Consolas" w:cs="Consolas" w:eastAsia="Consolas" w:hAnsi="Consolas"/>
              </w:rPr>
              <w:t xml:space="preserve">AIProvider</w:t>
            </w:r>
            <w:r>
              <w:t xml:space="preserve"> — Strategy-паттерн (</w:t>
            </w:r>
            <w:r>
              <w:rPr>
                <w:rFonts w:ascii="Consolas" w:cs="Consolas" w:eastAsia="Consolas" w:hAnsi="Consolas"/>
              </w:rPr>
              <w:t xml:space="preserve">backend/app/domain/interfaces.py</w:t>
            </w:r>
            <w:r>
              <w:t xml:space="preserve">), провайдер сменный через </w:t>
            </w:r>
            <w:r>
              <w:rPr>
                <w:rFonts w:ascii="Consolas" w:cs="Consolas" w:eastAsia="Consolas" w:hAnsi="Consolas"/>
              </w:rPr>
              <w:t xml:space="preserve">.env</w:t>
            </w:r>
            <w:r>
              <w:t xml:space="preserve"> без изменения кода — этого достаточно для «средней», а не «высокой» оценки</w:t>
            </w:r>
          </w:p>
        </w:tc>
      </w:tr>
      <w:tr>
        <w:tc>
          <w:tcPr>
            <w:tcW w:type="dxa" w:w="3212"/>
          </w:tcPr>
          <w:p>
            <w:r>
              <w:t xml:space="preserve">Угроза заменителей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5 (высокая)</w:t>
            </w:r>
          </w:p>
        </w:tc>
        <w:tc>
          <w:tcPr>
            <w:tcW w:type="dxa" w:w="3212"/>
          </w:tcPr>
          <w:p>
            <w:r>
              <w:t xml:space="preserve">Draw.io/Lucidchart/Visio, Figma, обычная текстовая документация, ручное рисование — реальные заменители с нулевой стоимостью перехода</w:t>
            </w:r>
          </w:p>
        </w:tc>
      </w:tr>
      <w:tr>
        <w:tc>
          <w:tcPr>
            <w:tcW w:type="dxa" w:w="3212"/>
          </w:tcPr>
          <w:p>
            <w:r>
              <w:t xml:space="preserve">Цифровые усилители (сводно, детализация — раздел 2)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3 (средняя)</w:t>
            </w:r>
          </w:p>
        </w:tc>
        <w:tc>
          <w:tcPr>
            <w:tcW w:type="dxa" w:w="3212"/>
          </w:tcPr>
          <w:p>
            <w:r>
              <w:t xml:space="preserve">Сводная оценка шести факторов из раздела 2 — большинство пока слабо выражены (продукт на раннем этапе), поэтому средняя, а не высокая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Среднее значение</w:t>
      </w:r>
      <w:r>
        <w:t xml:space="preserve"> *(не взвешенное — весов методика не задаёт)*: (5+5+5+3+5+3) / 6 ≈ </w:t>
      </w:r>
      <w:r>
        <w:rPr>
          <w:b/>
          <w:bCs/>
        </w:rPr>
        <w:t xml:space="preserve">4,33 → высокое конкурентное давление</w:t>
      </w:r>
      <w:r>
        <w:t xml:space="preserve"> (полоса 3,6–5,0 по методике §13, без «очень высокого» — такой градации в этой методике нет; термин «очень высокий» встречается только в отдельной SimilarWeb-методике, раздел 4 ниже, и относится к другой шкале).</w:t>
      </w:r>
    </w:p>
    <w:p>
      <w:pPr>
        <w:pStyle w:val="Heading1"/>
        <w:spacing w:after="120" w:before="240"/>
      </w:pPr>
      <w:r>
        <w:t xml:space="preserve">2. Дополнительные цифровые факторы (методика §11, 6 отдельных признаков)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Фактор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Оценка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Обоснование</w:t>
            </w:r>
          </w:p>
        </w:tc>
      </w:tr>
      <w:tr>
        <w:tc>
          <w:tcPr>
            <w:tcW w:type="dxa" w:w="3212"/>
          </w:tcPr>
          <w:p>
            <w:r>
              <w:t xml:space="preserve">Сетевые эффекты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1 (низкая)</w:t>
            </w:r>
          </w:p>
        </w:tc>
        <w:tc>
          <w:tcPr>
            <w:tcW w:type="dxa" w:w="3212"/>
          </w:tcPr>
          <w:p>
            <w:r>
              <w:t xml:space="preserve">Совместное редактирование — только Волна 2, ещё не реализовано; ценность продукта пока не растёт с числом пользователей</w:t>
            </w:r>
          </w:p>
        </w:tc>
      </w:tr>
      <w:tr>
        <w:tc>
          <w:tcPr>
            <w:tcW w:type="dxa" w:w="3212"/>
          </w:tcPr>
          <w:p>
            <w:r>
              <w:t xml:space="preserve">Данные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1 (низкая)</w:t>
            </w:r>
          </w:p>
        </w:tc>
        <w:tc>
          <w:tcPr>
            <w:tcW w:type="dxa" w:w="3212"/>
          </w:tcPr>
          <w:p>
            <w:r>
              <w:t xml:space="preserve">Нет накопленной обучающей выборки по AI-генерации, нет истории использования для персонализации</w:t>
            </w:r>
          </w:p>
        </w:tc>
      </w:tr>
      <w:tr>
        <w:tc>
          <w:tcPr>
            <w:tcW w:type="dxa" w:w="3212"/>
          </w:tcPr>
          <w:p>
            <w:r>
              <w:t xml:space="preserve">Алгоритмическая видимость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3 (средняя)</w:t>
            </w:r>
          </w:p>
        </w:tc>
        <w:tc>
          <w:tcPr>
            <w:tcW w:type="dxa" w:w="3212"/>
          </w:tcPr>
          <w:p>
            <w:r>
              <w:t xml:space="preserve">Часть открытия продукта зависит от поисковой выдачи и GitHub-экосистемы (см. ЛР1: рост «text to diagram»)</w:t>
            </w:r>
          </w:p>
        </w:tc>
      </w:tr>
      <w:tr>
        <w:tc>
          <w:tcPr>
            <w:tcW w:type="dxa" w:w="3212"/>
          </w:tcPr>
          <w:p>
            <w:r>
              <w:t xml:space="preserve">Платформенная зависимость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3 (средняя)</w:t>
            </w:r>
          </w:p>
        </w:tc>
        <w:tc>
          <w:tcPr>
            <w:tcW w:type="dxa" w:w="3212"/>
          </w:tcPr>
          <w:p>
            <w:r>
              <w:t xml:space="preserve">Продукт не работает изнутри чужой платформы (в отличие от Mermaid, встроенного в GitHub рендер), но распространение частично зависит от GitHub-экосистемы</w:t>
            </w:r>
          </w:p>
        </w:tc>
      </w:tr>
      <w:tr>
        <w:tc>
          <w:tcPr>
            <w:tcW w:type="dxa" w:w="3212"/>
          </w:tcPr>
          <w:p>
            <w:r>
              <w:t xml:space="preserve">Издержки переключения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1 (низкая)</w:t>
            </w:r>
          </w:p>
        </w:tc>
        <w:tc>
          <w:tcPr>
            <w:tcW w:type="dxa" w:w="3212"/>
          </w:tcPr>
          <w:p>
            <w:r>
              <w:t xml:space="preserve">На раннем этапе нет платящих пользователей с накопленной историей — переключиться от DiagramCode пока некуда «терять»</w:t>
            </w:r>
          </w:p>
        </w:tc>
      </w:tr>
      <w:tr>
        <w:tc>
          <w:tcPr>
            <w:tcW w:type="dxa" w:w="3212"/>
          </w:tcPr>
          <w:p>
            <w:r>
              <w:t xml:space="preserve">Экосистемная связанность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1 (низкая)</w:t>
            </w:r>
          </w:p>
        </w:tc>
        <w:tc>
          <w:tcPr>
            <w:tcW w:type="dxa" w:w="3212"/>
          </w:tcPr>
          <w:p>
            <w:r>
              <w:t xml:space="preserve">Продукт не привязан к экосистеме (в отличие от, например, Microsoft Visio + Microsoft 365)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Среднее по 6 факторам: (1+1+3+3+1+1)/6 ≈ 1,67 — низкая-средняя выраженность в сумме. *(Исправлено — честная формулировка: значение 3 в сводной строке раздела 1 — это НЕ округление 1,67 (математически округлилось бы до 2), а сознательное консервативное завышение, чтобы не занижать риск: платформенная зависимость и видимость в поиске реальны уже сейчас и могут усилиться быстрее, чем предполагает среднее по остальным четырём факторам. Отмечено явно, а не замаскировано под арифметику.)*</w:t>
      </w:r>
    </w:p>
    <w:p>
      <w:pPr>
        <w:pStyle w:val="Heading1"/>
        <w:spacing w:after="120" w:before="240"/>
      </w:pPr>
      <w:r>
        <w:t xml:space="preserve">3. Интерпретация по 2×2 (методика §13)</w:t>
      </w:r>
    </w:p>
    <w:p>
      <w:pPr>
        <w:spacing w:after="120"/>
      </w:pPr>
      <w:r>
        <w:t xml:space="preserve">Рынок «диаграмма как код» — это </w:t>
      </w:r>
      <w:r>
        <w:rPr>
          <w:b/>
          <w:bCs/>
        </w:rPr>
        <w:t xml:space="preserve">высокая конкуренция + растущий спрос</w:t>
      </w:r>
      <w:r>
        <w:t xml:space="preserve"> (растущий спрос подтверждён в ЛР1 через тренд </w:t>
      </w:r>
      <w:r>
        <w:rPr>
          <w:rFonts w:ascii="Consolas" w:cs="Consolas" w:eastAsia="Consolas" w:hAnsi="Consolas"/>
        </w:rPr>
        <w:t xml:space="preserve">text to diagram</w:t>
      </w:r>
      <w:r>
        <w:t xml:space="preserve">). Согласно методике, это означает: рынок есть, но вход дорогой — нужно искать нишу, а не конкурировать по всему фронту сразу с PlantUML/Mermaid/Eraser.io.</w:t>
      </w:r>
    </w:p>
    <w:p>
      <w:pPr>
        <w:spacing w:after="120"/>
      </w:pPr>
      <w:r>
        <w:rPr>
          <w:b/>
          <w:bCs/>
        </w:rPr>
        <w:t xml:space="preserve">Практический вывод для DiagramCode</w:t>
      </w:r>
      <w:r>
        <w:t xml:space="preserve">: не конкурировать с PlantUML/Mermaid за «бесплатный DSL-рендер» (рыночный стандарт, воспроизвести бесплатно несложно) и не конкурировать с Eraser.io напрямую по фиче-листу — а занять нишу </w:t>
      </w:r>
      <w:r>
        <w:rPr>
          <w:b/>
          <w:bCs/>
        </w:rPr>
        <w:t xml:space="preserve">AI-генерация + git-подобное версионирование + весь набор инженерных нотаций (UML/ERD/IDEF/BPMN/сети Петри) в одном инструменте</w:t>
      </w:r>
      <w:r>
        <w:t xml:space="preserve">.</w:t>
      </w:r>
    </w:p>
    <w:p>
      <w:pPr>
        <w:pStyle w:val="Heading1"/>
        <w:spacing w:after="120" w:before="240"/>
      </w:pPr>
      <w:r>
        <w:t xml:space="preserve">4. Барьеры конкуренции и входа через SimilarWeb (методика `metodika_ocenki_urovnya_konkurencii_i_barerov_vhoda_similarweb.docx`) — применяется впервые в этой ревизии</w:t>
      </w:r>
    </w:p>
    <w:p>
      <w:pPr>
        <w:spacing w:after="120"/>
      </w:pPr>
      <w:r>
        <w:t xml:space="preserve">Эта методика ранее не применялась вообще — оценка ниже сделана впервые, отдельно от матрицы Портера (у неё своя, непрерывная шкала 1,0–5,0, а не дискретная 1/3/5, поэтому смешивать её с разделом 1 нельзя).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Критерий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Оценка (1–5)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Обоснование</w:t>
            </w:r>
          </w:p>
        </w:tc>
      </w:tr>
      <w:tr>
        <w:tc>
          <w:tcPr>
            <w:tcW w:type="dxa" w:w="3212"/>
          </w:tcPr>
          <w:p>
            <w:r>
              <w:t xml:space="preserve">Количество релевантных конкурентов</w:t>
            </w:r>
          </w:p>
        </w:tc>
        <w:tc>
          <w:tcPr>
            <w:tcW w:type="dxa" w:w="3212"/>
          </w:tcPr>
          <w:p>
            <w:r>
              <w:t xml:space="preserve">4</w:t>
            </w:r>
          </w:p>
        </w:tc>
        <w:tc>
          <w:tcPr>
            <w:tcW w:type="dxa" w:w="3212"/>
          </w:tcPr>
          <w:p>
            <w:r>
              <w:t xml:space="preserve">5 реальных игроков идентифицированы в ЛР5 (PlantUML, Mermaid/MermaidChart, Eraser.io, D2)</w:t>
            </w:r>
          </w:p>
        </w:tc>
      </w:tr>
      <w:tr>
        <w:tc>
          <w:tcPr>
            <w:tcW w:type="dxa" w:w="3212"/>
          </w:tcPr>
          <w:p>
            <w:r>
              <w:t xml:space="preserve">Концентрация трафика (CR3/CR5)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не рассчитано</w:t>
            </w:r>
          </w:p>
        </w:tc>
        <w:tc>
          <w:tcPr>
            <w:tcW w:type="dxa" w:w="3212"/>
          </w:tcPr>
          <w:p>
            <w:r>
              <w:t xml:space="preserve">Полные данные SimilarWeb получены только по 2 доменам из 5 (лимит бесплатного тарифа, см. ЛР2-3) — на выборке n=2 индекс концентрации даст ложную точность, честно не считается, а не выдумывается</w:t>
            </w:r>
          </w:p>
        </w:tc>
      </w:tr>
      <w:tr>
        <w:tc>
          <w:tcPr>
            <w:tcW w:type="dxa" w:w="3212"/>
          </w:tcPr>
          <w:p>
            <w:r>
              <w:t xml:space="preserve">Стоимость входа в каналы</w:t>
            </w:r>
          </w:p>
        </w:tc>
        <w:tc>
          <w:tcPr>
            <w:tcW w:type="dxa" w:w="3212"/>
          </w:tcPr>
          <w:p>
            <w:r>
              <w:t xml:space="preserve">4</w:t>
            </w:r>
          </w:p>
        </w:tc>
        <w:tc>
          <w:tcPr>
            <w:tcW w:type="dxa" w:w="3212"/>
          </w:tcPr>
          <w:p>
            <w:r>
              <w:t xml:space="preserve">Платный поиск/реклама по категории конкурентный (высокий интерес к «text to diagram», ЛР1)</w:t>
            </w:r>
          </w:p>
        </w:tc>
      </w:tr>
      <w:tr>
        <w:tc>
          <w:tcPr>
            <w:tcW w:type="dxa" w:w="3212"/>
          </w:tcPr>
          <w:p>
            <w:r>
              <w:t xml:space="preserve">Поисковая конкуренция</w:t>
            </w:r>
          </w:p>
        </w:tc>
        <w:tc>
          <w:tcPr>
            <w:tcW w:type="dxa" w:w="3212"/>
          </w:tcPr>
          <w:p>
            <w:r>
              <w:t xml:space="preserve">4</w:t>
            </w:r>
          </w:p>
        </w:tc>
        <w:tc>
          <w:tcPr>
            <w:tcW w:type="dxa" w:w="3212"/>
          </w:tcPr>
          <w:p>
            <w:r>
              <w:t xml:space="preserve">PlantUML доминирует по устойчивому индексу интереса (ЛР1, среднее 41 из 100)</w:t>
            </w:r>
          </w:p>
        </w:tc>
      </w:tr>
      <w:tr>
        <w:tc>
          <w:tcPr>
            <w:tcW w:type="dxa" w:w="3212"/>
          </w:tcPr>
          <w:p>
            <w:r>
              <w:t xml:space="preserve">Рекламная конкуренция</w:t>
            </w:r>
          </w:p>
        </w:tc>
        <w:tc>
          <w:tcPr>
            <w:tcW w:type="dxa" w:w="3212"/>
          </w:tcPr>
          <w:p>
            <w:r>
              <w:t xml:space="preserve">3</w:t>
            </w:r>
          </w:p>
        </w:tc>
        <w:tc>
          <w:tcPr>
            <w:tcW w:type="dxa" w:w="3212"/>
          </w:tcPr>
          <w:p>
            <w:r>
              <w:t xml:space="preserve">Прямых данных по рекламным ставкам нет — оценка экспертная, требует проверки через Google/Meta Ad Library</w:t>
            </w:r>
          </w:p>
        </w:tc>
      </w:tr>
      <w:tr>
        <w:tc>
          <w:tcPr>
            <w:tcW w:type="dxa" w:w="3212"/>
          </w:tcPr>
          <w:p>
            <w:r>
              <w:t xml:space="preserve">Репутационный барьер</w:t>
            </w:r>
          </w:p>
        </w:tc>
        <w:tc>
          <w:tcPr>
            <w:tcW w:type="dxa" w:w="3212"/>
          </w:tcPr>
          <w:p>
            <w:r>
              <w:t xml:space="preserve">5</w:t>
            </w:r>
          </w:p>
        </w:tc>
        <w:tc>
          <w:tcPr>
            <w:tcW w:type="dxa" w:w="3212"/>
          </w:tcPr>
          <w:p>
            <w:r>
              <w:t xml:space="preserve">PlantUML — открытый проект с многолетней историей и community trust, DiagramCode стартует с нуля</w:t>
            </w:r>
          </w:p>
        </w:tc>
      </w:tr>
      <w:tr>
        <w:tc>
          <w:tcPr>
            <w:tcW w:type="dxa" w:w="3212"/>
          </w:tcPr>
          <w:p>
            <w:r>
              <w:t xml:space="preserve">Технологический барьер</w:t>
            </w:r>
          </w:p>
        </w:tc>
        <w:tc>
          <w:tcPr>
            <w:tcW w:type="dxa" w:w="3212"/>
          </w:tcPr>
          <w:p>
            <w:r>
              <w:t xml:space="preserve">2</w:t>
            </w:r>
          </w:p>
        </w:tc>
        <w:tc>
          <w:tcPr>
            <w:tcW w:type="dxa" w:w="3212"/>
          </w:tcPr>
          <w:p>
            <w:r>
              <w:t xml:space="preserve">Технически воспроизводимо быстро (открытые парсер-генераторы)</w:t>
            </w:r>
          </w:p>
        </w:tc>
      </w:tr>
      <w:tr>
        <w:tc>
          <w:tcPr>
            <w:tcW w:type="dxa" w:w="3212"/>
          </w:tcPr>
          <w:p>
            <w:r>
              <w:t xml:space="preserve">Издержки переключения клиента</w:t>
            </w:r>
          </w:p>
        </w:tc>
        <w:tc>
          <w:tcPr>
            <w:tcW w:type="dxa" w:w="3212"/>
          </w:tcPr>
          <w:p>
            <w:r>
              <w:t xml:space="preserve">2</w:t>
            </w:r>
          </w:p>
        </w:tc>
        <w:tc>
          <w:tcPr>
            <w:tcW w:type="dxa" w:w="3212"/>
          </w:tcPr>
          <w:p>
            <w:r>
              <w:t xml:space="preserve">Низкие на входе, растут только после накопления истории версий в DiagramCode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Среднее по 7 заполненным критериям *(исправлено — было ошибочно написано «6», хотя из 8 критериев исключён только один, концентрация, значит заполнено 7, и деление в формуле уже верно шло на 7)*: (4+4+4+3+5+2+2)/7 ≈ </w:t>
      </w:r>
      <w:r>
        <w:rPr>
          <w:b/>
          <w:bCs/>
        </w:rPr>
        <w:t xml:space="preserve">3,43 → высокий уровень барьеров/конкуренции</w:t>
      </w:r>
      <w:r>
        <w:t xml:space="preserve"> (полоса 3,1–4,0 по интерпретации этой методики, §6).</w:t>
      </w:r>
    </w:p>
    <w:p>
      <w:pPr>
        <w:spacing w:after="120"/>
      </w:pPr>
      <w:r>
        <w:rPr>
          <w:b/>
          <w:bCs/>
        </w:rPr>
        <w:t xml:space="preserve">Не выполнено и честно зафиксировано как ограничение</w:t>
      </w:r>
      <w:r>
        <w:t xml:space="preserve">: CR3/CR5, проверка технологического стека конкурентов через BuiltWith/Wappalyzer, данные об отзывах через G2/Capterra/Trustpilot — все это требует платного доступа к инструментам, которого нет в рамках бесплатного исследования.</w:t>
      </w:r>
    </w:p>
    <w:p>
      <w:pPr>
        <w:pStyle w:val="Heading1"/>
        <w:spacing w:after="120" w:before="240"/>
      </w:pPr>
      <w:r>
        <w:t xml:space="preserve">5. Барьеры входа (по перечню самой методики Портера, §7 «Угроза новых участников»)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Барьер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Как проявляется для DiagramCode</w:t>
            </w:r>
          </w:p>
        </w:tc>
      </w:tr>
      <w:tr>
        <w:tc>
          <w:tcPr>
            <w:tcW w:type="dxa" w:w="4819"/>
          </w:tcPr>
          <w:p>
            <w:r>
              <w:t xml:space="preserve">Трафик и реклама</w:t>
            </w:r>
          </w:p>
        </w:tc>
        <w:tc>
          <w:tcPr>
            <w:tcW w:type="dxa" w:w="4819"/>
          </w:tcPr>
          <w:p>
            <w:r>
              <w:t xml:space="preserve">Платный вход в категорию конкурентен (см. раздел 4); органика через GitHub/поиск — недорогой канал на старте (ЛР1)</w:t>
            </w:r>
          </w:p>
        </w:tc>
      </w:tr>
      <w:tr>
        <w:tc>
          <w:tcPr>
            <w:tcW w:type="dxa" w:w="4819"/>
          </w:tcPr>
          <w:p>
            <w:r>
              <w:t xml:space="preserve">Доверие</w:t>
            </w:r>
          </w:p>
        </w:tc>
        <w:tc>
          <w:tcPr>
            <w:tcW w:type="dxa" w:w="4819"/>
          </w:tcPr>
          <w:p>
            <w:r>
              <w:t xml:space="preserve">Ноль отзывов/кейсов на старте — придётся строить доверие с нуля против PlantUML с многолетней репутацией</w:t>
            </w:r>
          </w:p>
        </w:tc>
      </w:tr>
      <w:tr>
        <w:tc>
          <w:tcPr>
            <w:tcW w:type="dxa" w:w="4819"/>
          </w:tcPr>
          <w:p>
            <w:r>
              <w:t xml:space="preserve">Данные и аналитика</w:t>
            </w:r>
          </w:p>
        </w:tc>
        <w:tc>
          <w:tcPr>
            <w:tcW w:type="dxa" w:w="4819"/>
          </w:tcPr>
          <w:p>
            <w:r>
              <w:t xml:space="preserve">Нет накопленной клиентской базы/истории кампаний — то же, что «Данные» в разделе 2</w:t>
            </w:r>
          </w:p>
        </w:tc>
      </w:tr>
      <w:tr>
        <w:tc>
          <w:tcPr>
            <w:tcW w:type="dxa" w:w="4819"/>
          </w:tcPr>
          <w:p>
            <w:r>
              <w:t xml:space="preserve">Технологическая инфраструктура</w:t>
            </w:r>
          </w:p>
        </w:tc>
        <w:tc>
          <w:tcPr>
            <w:tcW w:type="dxa" w:w="4819"/>
          </w:tcPr>
          <w:p>
            <w:r>
              <w:t xml:space="preserve">Собственная грамматика DSL (Lark), рендер-движки, AI-интеграция — уже реализовано в архитектуре</w:t>
            </w:r>
          </w:p>
        </w:tc>
      </w:tr>
      <w:tr>
        <w:tc>
          <w:tcPr>
            <w:tcW w:type="dxa" w:w="4819"/>
          </w:tcPr>
          <w:p>
            <w:r>
              <w:t xml:space="preserve">Платформенные правила</w:t>
            </w:r>
          </w:p>
        </w:tc>
        <w:tc>
          <w:tcPr>
            <w:tcW w:type="dxa" w:w="4819"/>
          </w:tcPr>
          <w:p>
            <w:r>
              <w:t xml:space="preserve">Не зависим от правил конкретного маркетплейса (в отличие от продавцов на биржах) — низкий риск здесь</w:t>
            </w:r>
          </w:p>
        </w:tc>
      </w:tr>
      <w:tr>
        <w:tc>
          <w:tcPr>
            <w:tcW w:type="dxa" w:w="4819"/>
          </w:tcPr>
          <w:p>
            <w:r>
              <w:t xml:space="preserve">Сетевые эффекты</w:t>
            </w:r>
          </w:p>
        </w:tc>
        <w:tc>
          <w:tcPr>
            <w:tcW w:type="dxa" w:w="4819"/>
          </w:tcPr>
          <w:p>
            <w:r>
              <w:t xml:space="preserve">Пока отсутствуют (см. раздел 2) — ни барьер, ни защита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Дополнительно</w:t>
      </w:r>
      <w:r>
        <w:t xml:space="preserve"> (не из методики Портера, но по факту продукта): AI-квота (20 запросов/день по умолчанию) ограничивает операционную нагрузку; затраты на LLM API растут с базой пользователей — прямая зависимость юнит-экономики AI-режимов от стоимости внешнего провайдера.</w:t>
      </w:r>
    </w:p>
    <w:p>
      <w:pPr>
        <w:pStyle w:val="Heading1"/>
        <w:spacing w:after="120" w:before="240"/>
      </w:pPr>
      <w:r>
        <w:t xml:space="preserve">6. Барьеры выхода (дополнение — вне методик ЛР4, для полноты картины)</w:t>
      </w:r>
    </w:p>
    <w:p>
      <w:pPr>
        <w:spacing w:after="120"/>
      </w:pPr>
      <w:r>
        <w:t xml:space="preserve">Ни один из трёх методических документов ЛР4 не описывает барьеры выхода — раздел добавлен как полезное дополнение, не как обязательный по этой лабораторной элемент.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Барьер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Оценка для DiagramCode</w:t>
            </w:r>
          </w:p>
        </w:tc>
      </w:tr>
      <w:tr>
        <w:tc>
          <w:tcPr>
            <w:tcW w:type="dxa" w:w="4819"/>
          </w:tcPr>
          <w:p>
            <w:r>
              <w:t xml:space="preserve">Финансовые обязательства</w:t>
            </w:r>
          </w:p>
        </w:tc>
        <w:tc>
          <w:tcPr>
            <w:tcW w:type="dxa" w:w="4819"/>
          </w:tcPr>
          <w:p>
            <w:r>
              <w:t xml:space="preserve">Низкие — инфраструктура на условно-бесплатных тарифах (Render/Netlify/Neon), нет долгосрочных контрактов</w:t>
            </w:r>
          </w:p>
        </w:tc>
      </w:tr>
      <w:tr>
        <w:tc>
          <w:tcPr>
            <w:tcW w:type="dxa" w:w="4819"/>
          </w:tcPr>
          <w:p>
            <w:r>
              <w:t xml:space="preserve">Репутационные</w:t>
            </w:r>
          </w:p>
        </w:tc>
        <w:tc>
          <w:tcPr>
            <w:tcW w:type="dxa" w:w="4819"/>
          </w:tcPr>
          <w:p>
            <w:r>
              <w:t xml:space="preserve">Низкие на раннем этапе</w:t>
            </w:r>
          </w:p>
        </w:tc>
      </w:tr>
      <w:tr>
        <w:tc>
          <w:tcPr>
            <w:tcW w:type="dxa" w:w="4819"/>
          </w:tcPr>
          <w:p>
            <w:r>
              <w:t xml:space="preserve">Техническая зависимость</w:t>
            </w:r>
          </w:p>
        </w:tc>
        <w:tc>
          <w:tcPr>
            <w:tcW w:type="dxa" w:w="4819"/>
          </w:tcPr>
          <w:p>
            <w:r>
              <w:t xml:space="preserve">Средняя — DSL-грамматика и модели переиспользуемы в других контекстах</w:t>
            </w:r>
          </w:p>
        </w:tc>
      </w:tr>
      <w:tr>
        <w:tc>
          <w:tcPr>
            <w:tcW w:type="dxa" w:w="4819"/>
          </w:tcPr>
          <w:p>
            <w:r>
              <w:t xml:space="preserve">Данные пользователей</w:t>
            </w:r>
          </w:p>
        </w:tc>
        <w:tc>
          <w:tcPr>
            <w:tcW w:type="dxa" w:w="4819"/>
          </w:tcPr>
          <w:p>
            <w:r>
              <w:t xml:space="preserve">Средняя — версии диаграмм нужно будет экспортировать или гарантированно удалить при остановке</w:t>
            </w:r>
          </w:p>
        </w:tc>
      </w:tr>
      <w:tr>
        <w:tc>
          <w:tcPr>
            <w:tcW w:type="dxa" w:w="4819"/>
          </w:tcPr>
          <w:p>
            <w:r>
              <w:t xml:space="preserve">Командная нагрузка</w:t>
            </w:r>
          </w:p>
        </w:tc>
        <w:tc>
          <w:tcPr>
            <w:tcW w:type="dxa" w:w="4819"/>
          </w:tcPr>
          <w:p>
            <w:r>
              <w:t xml:space="preserve">Низкая на этапе одного разработчика/курсовой работы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7. Контрольный лист (методика §16, выборочная проверка ключевых пунктов)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Вопрос чек-листа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Ответ</w:t>
            </w:r>
          </w:p>
        </w:tc>
      </w:tr>
      <w:tr>
        <w:tc>
          <w:tcPr>
            <w:tcW w:type="dxa" w:w="4819"/>
          </w:tcPr>
          <w:p>
            <w:r>
              <w:t xml:space="preserve">Зафиксирован анализируемый рынок перед оценкой сил?</w:t>
            </w:r>
          </w:p>
        </w:tc>
        <w:tc>
          <w:tcPr>
            <w:tcW w:type="dxa" w:w="4819"/>
          </w:tcPr>
          <w:p>
            <w:r>
              <w:t xml:space="preserve">Да — границы ЛР1</w:t>
            </w:r>
          </w:p>
        </w:tc>
      </w:tr>
      <w:tr>
        <w:tc>
          <w:tcPr>
            <w:tcW w:type="dxa" w:w="4819"/>
          </w:tcPr>
          <w:p>
            <w:r>
              <w:t xml:space="preserve">Оценена каждая сила по единой шкале?</w:t>
            </w:r>
          </w:p>
        </w:tc>
        <w:tc>
          <w:tcPr>
            <w:tcW w:type="dxa" w:w="4819"/>
          </w:tcPr>
          <w:p>
            <w:r>
              <w:t xml:space="preserve">Да — раздел 1, строго 1/3/5</w:t>
            </w:r>
          </w:p>
        </w:tc>
      </w:tr>
      <w:tr>
        <w:tc>
          <w:tcPr>
            <w:tcW w:type="dxa" w:w="4819"/>
          </w:tcPr>
          <w:p>
            <w:r>
              <w:t xml:space="preserve">Собраны подтверждающие данные для каждой силы?</w:t>
            </w:r>
          </w:p>
        </w:tc>
        <w:tc>
          <w:tcPr>
            <w:tcW w:type="dxa" w:w="4819"/>
          </w:tcPr>
          <w:p>
            <w:r>
              <w:t xml:space="preserve">Частично — не для всех сил есть количественные данные (сила поставщиков и покупателей оценены качественно)</w:t>
            </w:r>
          </w:p>
        </w:tc>
      </w:tr>
      <w:tr>
        <w:tc>
          <w:tcPr>
            <w:tcW w:type="dxa" w:w="4819"/>
          </w:tcPr>
          <w:p>
            <w:r>
              <w:t xml:space="preserve">Отдельно оценены цифровые усилители?</w:t>
            </w:r>
          </w:p>
        </w:tc>
        <w:tc>
          <w:tcPr>
            <w:tcW w:type="dxa" w:w="4819"/>
          </w:tcPr>
          <w:p>
            <w:r>
              <w:t xml:space="preserve">Да — раздел 2, по 6 факторам отдельно</w:t>
            </w:r>
          </w:p>
        </w:tc>
      </w:tr>
      <w:tr>
        <w:tc>
          <w:tcPr>
            <w:tcW w:type="dxa" w:w="4819"/>
          </w:tcPr>
          <w:p>
            <w:r>
              <w:t xml:space="preserve">Сведены оценки в единую матрицу?</w:t>
            </w:r>
          </w:p>
        </w:tc>
        <w:tc>
          <w:tcPr>
            <w:tcW w:type="dxa" w:w="4819"/>
          </w:tcPr>
          <w:p>
            <w:r>
              <w:t xml:space="preserve">Да — раздел 1</w:t>
            </w:r>
          </w:p>
        </w:tc>
      </w:tr>
      <w:tr>
        <w:tc>
          <w:tcPr>
            <w:tcW w:type="dxa" w:w="4819"/>
          </w:tcPr>
          <w:p>
            <w:r>
              <w:t xml:space="preserve">Сформулирован вывод о привлекательности рынка?</w:t>
            </w:r>
          </w:p>
        </w:tc>
        <w:tc>
          <w:tcPr>
            <w:tcW w:type="dxa" w:w="4819"/>
          </w:tcPr>
          <w:p>
            <w:r>
              <w:t xml:space="preserve">Да — раздел 3</w:t>
            </w:r>
          </w:p>
        </w:tc>
      </w:tr>
      <w:tr>
        <w:tc>
          <w:tcPr>
            <w:tcW w:type="dxa" w:w="4819"/>
          </w:tcPr>
          <w:p>
            <w:r>
              <w:t xml:space="preserve">Определены стратегические последствия?</w:t>
            </w:r>
          </w:p>
        </w:tc>
        <w:tc>
          <w:tcPr>
            <w:tcW w:type="dxa" w:w="4819"/>
          </w:tcPr>
          <w:p>
            <w:r>
              <w:t xml:space="preserve">Да — раздел 3, ниша полного охвата нотаций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8. Итоговая формулировка</w:t>
      </w:r>
    </w:p>
    <w:p>
      <w:pPr>
        <w:spacing w:after="120"/>
      </w:pPr>
      <w:r>
        <w:t xml:space="preserve">Адаптированный анализ пяти сил Портера показывает, что конкурентная среда рынка «диаграмма как код» определяется прежде всего высокой силой покупателей (лёгкость сравнения с бесплатными PlantUML/Mermaid) и высокой угрозой заменителей (визуальные редакторы, ручная работа), а не числом прямых конкурентов. Независимая SimilarWeb-оценка барьеров (раздел 4) подтверждает высокий уровень конкурентного барьера (≈3,43 из 5), главным образом за счёт репутационного барьера и поисковой конкуренции. Привлекательность рынка оценивается как умеренная при условии узкой специализации: DiagramCode может закрепиться, если позиционируется не как «ещё один DSL-рендерер», а как единственный инструмент, сочетающий полный охват инженерных нотаций, git-подобное версионирование и AI-генерацию в одном продукте.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2026-09-22T19:35:45.399Z</dcterms:created>
  <dcterms:modified xsi:type="dcterms:W3CDTF">2026-09-22T19:35:45.400Z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