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ЛР6. Ценностное предложение, бизнес-модель Канвас, сценарии, страницы, релизы</w:t>
      </w:r>
    </w:p>
    <w:p>
      <w:pPr>
        <w:spacing w:after="120"/>
      </w:pPr>
      <w:r>
        <w:t xml:space="preserve">Объект анализа: </w:t>
      </w:r>
      <w:r>
        <w:rPr>
          <w:b/>
          <w:bCs/>
        </w:rPr>
        <w:t xml:space="preserve">DiagramCode</w:t>
      </w:r>
      <w:r>
        <w:t xml:space="preserve">. Раздел опирается на уже принятые архитектурные решения реального продукта (</w:t>
      </w:r>
      <w:r>
        <w:rPr>
          <w:rFonts w:ascii="Consolas" w:cs="Consolas" w:eastAsia="Consolas" w:hAnsi="Consolas"/>
        </w:rPr>
        <w:t xml:space="preserve">docs/architecture/</w:t>
      </w:r>
      <w:r>
        <w:t xml:space="preserve">, </w:t>
      </w:r>
      <w:r>
        <w:rPr>
          <w:rFonts w:ascii="Consolas" w:cs="Consolas" w:eastAsia="Consolas" w:hAnsi="Consolas"/>
        </w:rPr>
        <w:t xml:space="preserve">docs/requirements/</w:t>
      </w:r>
      <w:r>
        <w:t xml:space="preserve"> в основном репозитории продукта) — они не изобретены заново для этой лабораторной, а систематизированы в формате методики курса.</w:t>
      </w:r>
    </w:p>
    <w:p>
      <w:pPr>
        <w:pStyle w:val="Heading1"/>
        <w:spacing w:after="120" w:before="240"/>
      </w:pPr>
      <w:r>
        <w:t xml:space="preserve">1. Ценностное предложение и цифровой товар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Элемент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>
            <w:tcW w:type="dxa" w:w="4819"/>
          </w:tcPr>
          <w:p>
            <w:r>
              <w:t xml:space="preserve">Целевой клиент</w:t>
            </w:r>
          </w:p>
        </w:tc>
        <w:tc>
          <w:tcPr>
            <w:tcW w:type="dxa" w:w="4819"/>
          </w:tcPr>
          <w:p>
            <w:r>
              <w:t xml:space="preserve">Команда разработки/техписатели, уже хранящая документацию в git (стартовый сегмент — ПВТ Беларусь, см. ЛР2-3)</w:t>
            </w:r>
          </w:p>
        </w:tc>
      </w:tr>
      <w:tr>
        <w:tc>
          <w:tcPr>
            <w:tcW w:type="dxa" w:w="4819"/>
          </w:tcPr>
          <w:p>
            <w:r>
              <w:t xml:space="preserve">Проблема</w:t>
            </w:r>
          </w:p>
        </w:tc>
        <w:tc>
          <w:tcPr>
            <w:tcW w:type="dxa" w:w="4819"/>
          </w:tcPr>
          <w:p>
            <w:r>
              <w:t xml:space="preserve">См. ЛР1/ЛР4/ЛР5: диаграммы либо теряют историю версий (визуальные редакторы), либо не имеют AI-генерации и полного охвата нотаций (существующие DSL-инструменты)</w:t>
            </w:r>
          </w:p>
        </w:tc>
      </w:tr>
      <w:tr>
        <w:tc>
          <w:tcPr>
            <w:tcW w:type="dxa" w:w="4819"/>
          </w:tcPr>
          <w:p>
            <w:r>
              <w:t xml:space="preserve">Результат</w:t>
            </w:r>
          </w:p>
        </w:tc>
        <w:tc>
          <w:tcPr>
            <w:tcW w:type="dxa" w:w="4819"/>
          </w:tcPr>
          <w:p>
            <w:r>
              <w:t xml:space="preserve">Мгновенная, версионируемая инженерная диаграмма из DSL-кода или из текста/изображения через AI, с полным охватом нотаций (UML, ERD, IDEF0/1X/3, DFD, BPMN, сети Петри) в одном инструменте</w:t>
            </w:r>
          </w:p>
        </w:tc>
      </w:tr>
      <w:tr>
        <w:tc>
          <w:tcPr>
            <w:tcW w:type="dxa" w:w="4819"/>
          </w:tcPr>
          <w:p>
            <w:r>
              <w:t xml:space="preserve">Механизм ценности</w:t>
            </w:r>
          </w:p>
        </w:tc>
        <w:tc>
          <w:tcPr>
            <w:tcW w:type="dxa" w:w="4819"/>
          </w:tcPr>
          <w:p>
            <w:r>
              <w:t xml:space="preserve">Реестр плагинов нотаций (</w:t>
            </w:r>
            <w:r>
              <w:rPr>
                <w:rFonts w:ascii="Consolas" w:cs="Consolas" w:eastAsia="Consolas" w:hAnsi="Consolas"/>
              </w:rPr>
              <w:t xml:space="preserve">NotationProfile</w:t>
            </w:r>
            <w:r>
              <w:t xml:space="preserve">) + парсер DSL (Lark) + AI-провайдер за общим интерфейсом (Strategy) + git-подобное версионирование (коммиты/блобы, дедупликация по SHA-256)</w:t>
            </w:r>
          </w:p>
        </w:tc>
      </w:tr>
      <w:tr>
        <w:tc>
          <w:tcPr>
            <w:tcW w:type="dxa" w:w="4819"/>
          </w:tcPr>
          <w:p>
            <w:r>
              <w:t xml:space="preserve">Отличие</w:t>
            </w:r>
          </w:p>
        </w:tc>
        <w:tc>
          <w:tcPr>
            <w:tcW w:type="dxa" w:w="4819"/>
          </w:tcPr>
          <w:p>
            <w:r>
              <w:t xml:space="preserve">Ни один прямой конкурент (ЛР5) не закрывает весь набор нотаций в одном продукте — DiagramCode целится именно в этот пробел</w:t>
            </w:r>
          </w:p>
        </w:tc>
      </w:tr>
      <w:tr>
        <w:tc>
          <w:tcPr>
            <w:tcW w:type="dxa" w:w="4819"/>
          </w:tcPr>
          <w:p>
            <w:r>
              <w:t xml:space="preserve">Доказательство</w:t>
            </w:r>
          </w:p>
        </w:tc>
        <w:tc>
          <w:tcPr>
            <w:tcW w:type="dxa" w:w="4819"/>
          </w:tcPr>
          <w:p>
            <w:r>
              <w:t xml:space="preserve">Растущий спрос на «text to diagram» (ЛР1), рыночный стандарт AI+версионирование+GitHub-интеграция уже подтверждён у Eraser.io (ЛР5)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Уровни цифрового товара (5-уровневая модель методики)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Уровень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Состав для DiagramCode</w:t>
            </w:r>
          </w:p>
        </w:tc>
      </w:tr>
      <w:tr>
        <w:tc>
          <w:tcPr>
            <w:tcW w:type="dxa" w:w="4819"/>
          </w:tcPr>
          <w:p>
            <w:r>
              <w:t xml:space="preserve">Ядро пользы</w:t>
            </w:r>
          </w:p>
        </w:tc>
        <w:tc>
          <w:tcPr>
            <w:tcW w:type="dxa" w:w="4819"/>
          </w:tcPr>
          <w:p>
            <w:r>
              <w:t xml:space="preserve">Корректная диаграмма без ручной расстановки элементов — за секунды, из кода или из текста</w:t>
            </w:r>
          </w:p>
        </w:tc>
      </w:tr>
      <w:tr>
        <w:tc>
          <w:tcPr>
            <w:tcW w:type="dxa" w:w="4819"/>
          </w:tcPr>
          <w:p>
            <w:r>
              <w:t xml:space="preserve">Базовый товар (курсовой срез / Волна 1)</w:t>
            </w:r>
          </w:p>
        </w:tc>
        <w:tc>
          <w:tcPr>
            <w:tcW w:type="dxa" w:w="4819"/>
          </w:tcPr>
          <w:p>
            <w:r>
              <w:t xml:space="preserve">DSL-редактор (Monaco с подсветкой)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</w:t>
            </w:r>
          </w:p>
        </w:tc>
      </w:tr>
      <w:tr>
        <w:tc>
          <w:tcPr>
            <w:tcW w:type="dxa" w:w="4819"/>
          </w:tcPr>
          <w:p>
            <w:r>
              <w:t xml:space="preserve">Ожидаемый товар (рыночный стандарт, ЛР5)</w:t>
            </w:r>
          </w:p>
        </w:tc>
        <w:tc>
          <w:tcPr>
            <w:tcW w:type="dxa" w:w="4819"/>
          </w:tcPr>
          <w:p>
            <w:r>
              <w:t xml:space="preserve">Браузерный рендер без установки, интеграция с GitHub, AI-генерация, история версий</w:t>
            </w:r>
          </w:p>
        </w:tc>
      </w:tr>
      <w:tr>
        <w:tc>
          <w:tcPr>
            <w:tcW w:type="dxa" w:w="4819"/>
          </w:tcPr>
          <w:p>
            <w:r>
              <w:t xml:space="preserve">Расширенный товар (Волна 2-3)</w:t>
            </w:r>
          </w:p>
        </w:tc>
        <w:tc>
          <w:tcPr>
            <w:tcW w:type="dxa" w:w="4819"/>
          </w:tcPr>
          <w:p>
            <w:r>
              <w:t xml:space="preserve">Полный реестр нотаций (UML class/sequence/use case/activity/state machine, IDEF0/3, DFD), совместное редактирование в реальном времени через WebSocket, decomposition-модель для IDEF0/DFD</w:t>
            </w:r>
          </w:p>
        </w:tc>
      </w:tr>
      <w:tr>
        <w:tc>
          <w:tcPr>
            <w:tcW w:type="dxa" w:w="4819"/>
          </w:tcPr>
          <w:p>
            <w:r>
              <w:t xml:space="preserve">Потенциальный товар (Волна 4+)</w:t>
            </w:r>
          </w:p>
        </w:tc>
        <w:tc>
          <w:tcPr>
            <w:tcW w:type="dxa" w:w="4819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 (PlantUML/Mermaid-текст, BPMN 2.0 XML, drawio-XML)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Единица монетизации</w:t>
      </w:r>
    </w:p>
    <w:p>
      <w:pPr>
        <w:spacing w:after="120"/>
      </w:pPr>
      <w:r>
        <w:t xml:space="preserve">Подписка по местам с AI-квотой на тариф — та же модель, что подтверждена как рыночный стандарт у Eraser.io (ЛР5): бесплатный тариф с ограниченной AI-квотой (в архитектуре продукта уже заложено значение по умолчанию — 20 AI-запросов/день на пользователя через Redis-квоту), платные тарифы снимают ограничение.</w:t>
      </w:r>
    </w:p>
    <w:p>
      <w:pPr>
        <w:pStyle w:val="Heading1"/>
        <w:spacing w:after="120" w:before="240"/>
      </w:pPr>
      <w:r>
        <w:t xml:space="preserve">2. Бизнес-модель по Канвас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Блок Канвас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Содержание</w:t>
            </w:r>
          </w:p>
        </w:tc>
      </w:tr>
      <w:tr>
        <w:tc>
          <w:tcPr>
            <w:tcW w:type="dxa" w:w="4819"/>
          </w:tcPr>
          <w:p>
            <w:r>
              <w:t xml:space="preserve">Потребительские сегменты</w:t>
            </w:r>
          </w:p>
        </w:tc>
        <w:tc>
          <w:tcPr>
            <w:tcW w:type="dxa" w:w="4819"/>
          </w:tcPr>
          <w:p>
            <w:r>
              <w:t xml:space="preserve">Первичный: команды разработки/техписатели ПВТ Беларуси и СНГ. Вторичный: студенты и преподаватели курсов по моделированию (в том числе сам курс «ИТиВП» БГУИР — потенциальный образовательный канал). Третичный (после MVP): глобальный англоязычный рынок разработчиков</w:t>
            </w:r>
          </w:p>
        </w:tc>
      </w:tr>
      <w:tr>
        <w:tc>
          <w:tcPr>
            <w:tcW w:type="dxa" w:w="4819"/>
          </w:tcPr>
          <w:p>
            <w:r>
              <w:t xml:space="preserve">Ценностное предложение</w:t>
            </w:r>
          </w:p>
        </w:tc>
        <w:tc>
          <w:tcPr>
            <w:tcW w:type="dxa" w:w="4819"/>
          </w:tcPr>
          <w:p>
            <w:r>
              <w:t xml:space="preserve">См. раздел 1</w:t>
            </w:r>
          </w:p>
        </w:tc>
      </w:tr>
      <w:tr>
        <w:tc>
          <w:tcPr>
            <w:tcW w:type="dxa" w:w="4819"/>
          </w:tcPr>
          <w:p>
            <w:r>
              <w:t xml:space="preserve">Каналы</w:t>
            </w:r>
          </w:p>
        </w:tc>
        <w:tc>
          <w:tcPr>
            <w:tcW w:type="dxa" w:w="4819"/>
          </w:tcPr>
          <w:p>
            <w:r>
              <w:t xml:space="preserve">Органический поиск (ключевые слова из ЛР1: «text to diagram», «diagram as code»), расширение/интеграция для GitHub (по аналогии с официальным расширением PlantUML — ЛР5), сообщества разработчиков, образовательный канал через вузы</w:t>
            </w:r>
          </w:p>
        </w:tc>
      </w:tr>
      <w:tr>
        <w:tc>
          <w:tcPr>
            <w:tcW w:type="dxa" w:w="4819"/>
          </w:tcPr>
          <w:p>
            <w:r>
              <w:t xml:space="preserve">Отношения с клиентами</w:t>
            </w:r>
          </w:p>
        </w:tc>
        <w:tc>
          <w:tcPr>
            <w:tcW w:type="dxa" w:w="4819"/>
          </w:tcPr>
          <w:p>
            <w:r>
              <w:t xml:space="preserve">Самообслуживание на бесплатном тарифе (документация, cheat sheet DSL — уже спроектированы как модальное окно документации), персональная поддержка на платных тарифах</w:t>
            </w:r>
          </w:p>
        </w:tc>
      </w:tr>
      <w:tr>
        <w:tc>
          <w:tcPr>
            <w:tcW w:type="dxa" w:w="4819"/>
          </w:tcPr>
          <w:p>
            <w:r>
              <w:t xml:space="preserve">Потоки доходов</w:t>
            </w:r>
          </w:p>
        </w:tc>
        <w:tc>
          <w:tcPr>
            <w:tcW w:type="dxa" w:w="4819"/>
          </w:tcPr>
          <w:p>
            <w:r>
              <w:t xml:space="preserve">Подписка по местам с AI-квотой на тариф (см. раздел 1)</w:t>
            </w:r>
          </w:p>
        </w:tc>
      </w:tr>
      <w:tr>
        <w:tc>
          <w:tcPr>
            <w:tcW w:type="dxa" w:w="4819"/>
          </w:tcPr>
          <w:p>
            <w:r>
              <w:t xml:space="preserve">Ключевые ресурсы</w:t>
            </w:r>
          </w:p>
        </w:tc>
        <w:tc>
          <w:tcPr>
            <w:tcW w:type="dxa" w:w="4819"/>
          </w:tcPr>
          <w:p>
            <w:r>
              <w:t xml:space="preserve">Грамматика DSL (</w:t>
            </w:r>
            <w:r>
              <w:rPr>
                <w:rFonts w:ascii="Consolas" w:cs="Consolas" w:eastAsia="Consolas" w:hAnsi="Consolas"/>
              </w:rPr>
              <w:t xml:space="preserve">grammar.lark</w:t>
            </w:r>
            <w:r>
              <w:t xml:space="preserve">), реестр плагинов нотаций, абстракция </w:t>
            </w:r>
            <w:r>
              <w:rPr>
                <w:rFonts w:ascii="Consolas" w:cs="Consolas" w:eastAsia="Consolas" w:hAnsi="Consolas"/>
              </w:rPr>
              <w:t xml:space="preserve">AIProvider</w:t>
            </w:r>
            <w:r>
              <w:t xml:space="preserve">, IDE-фронтенд на Monaco</w:t>
            </w:r>
          </w:p>
        </w:tc>
      </w:tr>
      <w:tr>
        <w:tc>
          <w:tcPr>
            <w:tcW w:type="dxa" w:w="4819"/>
          </w:tcPr>
          <w:p>
            <w:r>
              <w:t xml:space="preserve">Ключевые действия</w:t>
            </w:r>
          </w:p>
        </w:tc>
        <w:tc>
          <w:tcPr>
            <w:tcW w:type="dxa" w:w="4819"/>
          </w:tcPr>
          <w:p>
            <w:r>
              <w:t xml:space="preserve">Разработка новых нотаций по волнам (Wave 1-4), доработка промптов AI-режимов, поддержка рендер-пайплайна, поддержка документации</w:t>
            </w:r>
          </w:p>
        </w:tc>
      </w:tr>
      <w:tr>
        <w:tc>
          <w:tcPr>
            <w:tcW w:type="dxa" w:w="4819"/>
          </w:tcPr>
          <w:p>
            <w:r>
              <w:t xml:space="preserve">Партнёры</w:t>
            </w:r>
          </w:p>
        </w:tc>
        <w:tc>
          <w:tcPr>
            <w:tcW w:type="dxa" w:w="4819"/>
          </w:tcPr>
          <w:p>
            <w:r>
              <w:t xml:space="preserve">LLM/VLM-провайдер (OpenAI/Anthropic — сменный через </w:t>
            </w:r>
            <w:r>
              <w:rPr>
                <w:rFonts w:ascii="Consolas" w:cs="Consolas" w:eastAsia="Consolas" w:hAnsi="Consolas"/>
              </w:rPr>
              <w:t xml:space="preserve">.env</w:t>
            </w:r>
            <w:r>
              <w:t xml:space="preserve">), GitHub/GitLab (канал дистрибуции и интеграция хранения), Render + Netlify (хостинг), Neon (управляемый PostgreSQL)</w:t>
            </w:r>
          </w:p>
        </w:tc>
      </w:tr>
      <w:tr>
        <w:tc>
          <w:tcPr>
            <w:tcW w:type="dxa" w:w="4819"/>
          </w:tcPr>
          <w:p>
            <w:r>
              <w:t xml:space="preserve">Структура затрат</w:t>
            </w:r>
          </w:p>
        </w:tc>
        <w:tc>
          <w:tcPr>
            <w:tcW w:type="dxa" w:w="4819"/>
          </w:tcPr>
          <w:p>
            <w:r>
              <w:t xml:space="preserve">Переменные — оплата LLM API (растёт с базой пользователей, см. ЛР4 «сила поставщиков»); условно-постоянные — хостинг (бесплатные тарифы Render/Netlify/Neon на старте); разработка нотаций и AI-функциональности</w:t>
            </w:r>
          </w:p>
        </w:tc>
      </w:tr>
    </w:tbl>
    <w:p>
      <w:pPr>
        <w:spacing w:after="120"/>
      </w:pPr>
    </w:p>
    <w:p>
      <w:pPr>
        <w:pStyle w:val="Heading2"/>
        <w:spacing w:after="100" w:before="200"/>
      </w:pPr>
      <w:r>
        <w:t xml:space="preserve">Проверка связности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Проверка</w:t>
            </w:r>
          </w:p>
        </w:tc>
        <w:tc>
          <w:tcPr>
            <w:tcW w:type="dxa" w:w="4819"/>
            <w:shd w:fill="D9D9D9" w:val="clear"/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c>
          <w:tcPr>
            <w:tcW w:type="dxa" w:w="4819"/>
          </w:tcPr>
          <w:p>
            <w:r>
              <w:t xml:space="preserve">Сегмент ↔ ценность</w:t>
            </w:r>
          </w:p>
        </w:tc>
        <w:tc>
          <w:tcPr>
            <w:tcW w:type="dxa" w:w="4819"/>
          </w:tcPr>
          <w:p>
            <w:r>
              <w:t xml:space="preserve">ПВТ-командам, уже привыкшим к git-flow, ценность «диаграмма как код + версионирование» понятна без обучения</w:t>
            </w:r>
          </w:p>
        </w:tc>
      </w:tr>
      <w:tr>
        <w:tc>
          <w:tcPr>
            <w:tcW w:type="dxa" w:w="4819"/>
          </w:tcPr>
          <w:p>
            <w:r>
              <w:t xml:space="preserve">Ценность ↔ товар</w:t>
            </w:r>
          </w:p>
        </w:tc>
        <w:tc>
          <w:tcPr>
            <w:tcW w:type="dxa" w:w="4819"/>
          </w:tcPr>
          <w:p>
            <w:r>
              <w:t xml:space="preserve">Базовый товар (Волна 1: DSL+рендер+сохранение+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+auth) реально создаёт обещанную ценность для минимального сценария («написал DSL — увидел диаграмму — сохранил версию»)</w:t>
            </w:r>
          </w:p>
        </w:tc>
      </w:tr>
      <w:tr>
        <w:tc>
          <w:tcPr>
            <w:tcW w:type="dxa" w:w="4819"/>
          </w:tcPr>
          <w:p>
            <w:r>
              <w:t xml:space="preserve">Товар ↔ доход</w:t>
            </w:r>
          </w:p>
        </w:tc>
        <w:tc>
          <w:tcPr>
            <w:tcW w:type="dxa" w:w="4819"/>
          </w:tcPr>
          <w:p>
            <w:r>
              <w:t xml:space="preserve">AI-квота как платный лимит — понятная точка монетизации, подтверждена рынком (Eraser.io)</w:t>
            </w:r>
          </w:p>
        </w:tc>
      </w:tr>
      <w:tr>
        <w:tc>
          <w:tcPr>
            <w:tcW w:type="dxa" w:w="4819"/>
          </w:tcPr>
          <w:p>
            <w:r>
              <w:t xml:space="preserve">Каналы ↔ рынок</w:t>
            </w:r>
          </w:p>
        </w:tc>
        <w:tc>
          <w:tcPr>
            <w:tcW w:type="dxa" w:w="4819"/>
          </w:tcPr>
          <w:p>
            <w:r>
              <w:t xml:space="preserve">Органика через GitHub/поиск соответствует поведению разработчиков (не требует холодных продаж)</w:t>
            </w:r>
          </w:p>
        </w:tc>
      </w:tr>
      <w:tr>
        <w:tc>
          <w:tcPr>
            <w:tcW w:type="dxa" w:w="4819"/>
          </w:tcPr>
          <w:p>
            <w:r>
              <w:t xml:space="preserve">Ресурсы ↔ релиз</w:t>
            </w:r>
          </w:p>
        </w:tc>
        <w:tc>
          <w:tcPr>
            <w:tcW w:type="dxa" w:w="4819"/>
          </w:tcPr>
          <w:p>
            <w:r>
              <w:t xml:space="preserve">Реестр нотаций уже архитектурно спроектирован как открытый для расширения (Open/Closed) — не требует переписывания ядра для новых нотаций по волнам</w:t>
            </w:r>
          </w:p>
        </w:tc>
      </w:tr>
      <w:tr>
        <w:tc>
          <w:tcPr>
            <w:tcW w:type="dxa" w:w="4819"/>
          </w:tcPr>
          <w:p>
            <w:r>
              <w:t xml:space="preserve">Затраты ↔ доход</w:t>
            </w:r>
          </w:p>
        </w:tc>
        <w:tc>
          <w:tcPr>
            <w:tcW w:type="dxa" w:w="4819"/>
          </w:tcPr>
          <w:p>
            <w:r>
              <w:t xml:space="preserve">Главный риск — рост затрат на LLM API быстрее роста платящей базы; квота 20 запросов/день по умолчанию — прямой инструмент контроля этого риска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3. Бизнес-логика и пользовательские сценарии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tblHeader/>
        </w:trPr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Роль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Цель роли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Основные сценарии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Ценность</w:t>
            </w:r>
          </w:p>
        </w:tc>
        <w:tc>
          <w:tcPr>
            <w:tcW w:type="dxa" w:w="1927"/>
            <w:shd w:fill="D9D9D9" w:val="clear"/>
          </w:tcPr>
          <w:p>
            <w:r>
              <w:rPr>
                <w:b/>
                <w:bCs/>
              </w:rPr>
              <w:t xml:space="preserve">Связь с монетизацией</w:t>
            </w:r>
          </w:p>
        </w:tc>
      </w:tr>
      <w:tr>
        <w:tc>
          <w:tcPr>
            <w:tcW w:type="dxa" w:w="1927"/>
          </w:tcPr>
          <w:p>
            <w:r>
              <w:t xml:space="preserve">Пользователь (владелец диаграммы)</w:t>
            </w:r>
          </w:p>
        </w:tc>
        <w:tc>
          <w:tcPr>
            <w:tcW w:type="dxa" w:w="1927"/>
          </w:tcPr>
          <w:p>
            <w:r>
              <w:t xml:space="preserve">Написать/сгенерировать и сохранить диаграмму</w:t>
            </w:r>
          </w:p>
        </w:tc>
        <w:tc>
          <w:tcPr>
            <w:tcW w:type="dxa" w:w="1927"/>
          </w:tcPr>
          <w:p>
            <w:r>
              <w:t xml:space="preserve">Регистрация → вход → написание DSL → Run → сохранение версии → экспорт</w:t>
            </w:r>
          </w:p>
        </w:tc>
        <w:tc>
          <w:tcPr>
            <w:tcW w:type="dxa" w:w="1927"/>
          </w:tcPr>
          <w:p>
            <w:r>
              <w:t xml:space="preserve">Быстрый корректный результат без ручной расстановки фигур</w:t>
            </w:r>
          </w:p>
        </w:tc>
        <w:tc>
          <w:tcPr>
            <w:tcW w:type="dxa" w:w="1927"/>
          </w:tcPr>
          <w:p>
            <w:r>
              <w:t xml:space="preserve">Оплата за AI-квоту сверх бесплатного лимита</w:t>
            </w:r>
          </w:p>
        </w:tc>
      </w:tr>
      <w:tr>
        <w:tc>
          <w:tcPr>
            <w:tcW w:type="dxa" w:w="1927"/>
          </w:tcPr>
          <w:p>
            <w:r>
              <w:t xml:space="preserve">Пользователь как AI-заказчик</w:t>
            </w:r>
          </w:p>
        </w:tc>
        <w:tc>
          <w:tcPr>
            <w:tcW w:type="dxa" w:w="1927"/>
          </w:tcPr>
          <w:p>
            <w:r>
              <w:t xml:space="preserve">Получить DSL-код по описанию/изображению</w:t>
            </w:r>
          </w:p>
        </w:tc>
        <w:tc>
          <w:tcPr>
            <w:tcW w:type="dxa" w:w="1927"/>
          </w:tcPr>
          <w:p>
            <w:r>
              <w:t xml:space="preserve">Открыть модалку AI → выбрать режим (write/fix_code/fix_error/docs) → получить код → проверить на канвасе</w:t>
            </w:r>
          </w:p>
        </w:tc>
        <w:tc>
          <w:tcPr>
            <w:tcW w:type="dxa" w:w="1927"/>
          </w:tcPr>
          <w:p>
            <w:r>
              <w:t xml:space="preserve">Экономия времени на изучение синтаксиса DSL</w:t>
            </w:r>
          </w:p>
        </w:tc>
        <w:tc>
          <w:tcPr>
            <w:tcW w:type="dxa" w:w="1927"/>
          </w:tcPr>
          <w:p>
            <w:r>
              <w:t xml:space="preserve">Прямой источник платной AI-квоты</w:t>
            </w:r>
          </w:p>
        </w:tc>
      </w:tr>
      <w:tr>
        <w:tc>
          <w:tcPr>
            <w:tcW w:type="dxa" w:w="1927"/>
          </w:tcPr>
          <w:p>
            <w:r>
              <w:t xml:space="preserve">Соавтор (Волна 2)</w:t>
            </w:r>
          </w:p>
        </w:tc>
        <w:tc>
          <w:tcPr>
            <w:tcW w:type="dxa" w:w="1927"/>
          </w:tcPr>
          <w:p>
            <w:r>
              <w:t xml:space="preserve">Совместно редактировать диаграмму</w:t>
            </w:r>
          </w:p>
        </w:tc>
        <w:tc>
          <w:tcPr>
            <w:tcW w:type="dxa" w:w="1927"/>
          </w:tcPr>
          <w:p>
            <w:r>
              <w:t xml:space="preserve">Получить приглашение → редактировать одновременно с владельцем → видеть изменения через WebSocket</w:t>
            </w:r>
          </w:p>
        </w:tc>
        <w:tc>
          <w:tcPr>
            <w:tcW w:type="dxa" w:w="1927"/>
          </w:tcPr>
          <w:p>
            <w:r>
              <w:t xml:space="preserve">Командная работа без конфликтов версий</w:t>
            </w:r>
          </w:p>
        </w:tc>
        <w:tc>
          <w:tcPr>
            <w:tcW w:type="dxa" w:w="1927"/>
          </w:tcPr>
          <w:p>
            <w:r>
              <w:t xml:space="preserve">Расширяет число платящих мест на одну диаграмму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4. Страницы, экраны, функционал (техническое задание первого релиза)</w:t>
      </w:r>
    </w:p>
    <w:p>
      <w:pPr>
        <w:spacing w:after="120"/>
      </w:pPr>
      <w:r>
        <w:t xml:space="preserve">Состав уже спроектирован в виде 13 макетов интерфейса реального продукта (</w:t>
      </w:r>
      <w:r>
        <w:rPr>
          <w:rFonts w:ascii="Consolas" w:cs="Consolas" w:eastAsia="Consolas" w:hAnsi="Consolas"/>
        </w:rPr>
        <w:t xml:space="preserve">design/mockups/*.dc.html</w:t>
      </w:r>
      <w:r>
        <w:t xml:space="preserve">) — здесь сведён в формат методики курса.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Интерфейсная единица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Задача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</w:tr>
      <w:tr>
        <w:tc>
          <w:tcPr>
            <w:tcW w:type="dxa" w:w="3212"/>
          </w:tcPr>
          <w:p>
            <w:r>
              <w:t xml:space="preserve">Экран логина/регистрации</w:t>
            </w:r>
          </w:p>
        </w:tc>
        <w:tc>
          <w:tcPr>
            <w:tcW w:type="dxa" w:w="3212"/>
          </w:tcPr>
          <w:p>
            <w:r>
              <w:t xml:space="preserve">Вход по email+паролю, ссылка на регистрацию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  <w:tr>
        <w:tc>
          <w:tcPr>
            <w:tcW w:type="dxa" w:w="3212"/>
          </w:tcPr>
          <w:p>
            <w:r>
              <w:t xml:space="preserve">IDE-оболочка (титлбар + activity bar + сайдбар + редактор Monaco + канвас в сплите + нижняя панель + статус-бар)</w:t>
            </w:r>
          </w:p>
        </w:tc>
        <w:tc>
          <w:tcPr>
            <w:tcW w:type="dxa" w:w="3212"/>
          </w:tcPr>
          <w:p>
            <w:r>
              <w:t xml:space="preserve">Основной рабочий экран: написание DSL, просмотр рендера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  <w:tr>
        <w:tc>
          <w:tcPr>
            <w:tcW w:type="dxa" w:w="3212"/>
          </w:tcPr>
          <w:p>
            <w:r>
              <w:t xml:space="preserve">Модалка AI-ассистента (4 вкладки режимов)</w:t>
            </w:r>
          </w:p>
        </w:tc>
        <w:tc>
          <w:tcPr>
            <w:tcW w:type="dxa" w:w="3212"/>
          </w:tcPr>
          <w:p>
            <w:r>
              <w:t xml:space="preserve">Генерация/исправление DSL-кода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  <w:tr>
        <w:tc>
          <w:tcPr>
            <w:tcW w:type="dxa" w:w="3212"/>
          </w:tcPr>
          <w:p>
            <w:r>
              <w:t xml:space="preserve">Панель шаблонов нотаций в сайдбаре</w:t>
            </w:r>
          </w:p>
        </w:tc>
        <w:tc>
          <w:tcPr>
            <w:tcW w:type="dxa" w:w="3212"/>
          </w:tcPr>
          <w:p>
            <w:r>
              <w:t xml:space="preserve">Вставка готового шаблона по нотации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  <w:tr>
        <w:tc>
          <w:tcPr>
            <w:tcW w:type="dxa" w:w="3212"/>
          </w:tcPr>
          <w:p>
            <w:r>
              <w:t xml:space="preserve">Вкладка Problems нижней панели</w:t>
            </w:r>
          </w:p>
        </w:tc>
        <w:tc>
          <w:tcPr>
            <w:tcW w:type="dxa" w:w="3212"/>
          </w:tcPr>
          <w:p>
            <w:r>
              <w:t xml:space="preserve">Список ошибок/предупреждений валидации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  <w:tr>
        <w:tc>
          <w:tcPr>
            <w:tcW w:type="dxa" w:w="3212"/>
          </w:tcPr>
          <w:p>
            <w:r>
              <w:t xml:space="preserve">Дропдаун Save (устройство / GitHub / Google Drive)</w:t>
            </w:r>
          </w:p>
        </w:tc>
        <w:tc>
          <w:tcPr>
            <w:tcW w:type="dxa" w:w="3212"/>
          </w:tcPr>
          <w:p>
            <w:r>
              <w:t xml:space="preserve">Экспорт диаграммы</w:t>
            </w:r>
          </w:p>
        </w:tc>
        <w:tc>
          <w:tcPr>
            <w:tcW w:type="dxa" w:w="3212"/>
          </w:tcPr>
          <w:p>
            <w:r>
              <w:t xml:space="preserve">Первый (устройство) / Следующий (GitHub/Google Drive — OAuth)</w:t>
            </w:r>
          </w:p>
        </w:tc>
      </w:tr>
      <w:tr>
        <w:tc>
          <w:tcPr>
            <w:tcW w:type="dxa" w:w="3212"/>
          </w:tcPr>
          <w:p>
            <w:r>
              <w:t xml:space="preserve">Модалка истории версий с diff</w:t>
            </w:r>
          </w:p>
        </w:tc>
        <w:tc>
          <w:tcPr>
            <w:tcW w:type="dxa" w:w="3212"/>
          </w:tcPr>
          <w:p>
            <w:r>
              <w:t xml:space="preserve">Просмотр/откат версий</w:t>
            </w:r>
          </w:p>
        </w:tc>
        <w:tc>
          <w:tcPr>
            <w:tcW w:type="dxa" w:w="3212"/>
          </w:tcPr>
          <w:p>
            <w:r>
              <w:t xml:space="preserve">Следующий</w:t>
            </w:r>
          </w:p>
        </w:tc>
      </w:tr>
      <w:tr>
        <w:tc>
          <w:tcPr>
            <w:tcW w:type="dxa" w:w="3212"/>
          </w:tcPr>
          <w:p>
            <w:r>
              <w:t xml:space="preserve">Модалка встроенной документации</w:t>
            </w:r>
          </w:p>
        </w:tc>
        <w:tc>
          <w:tcPr>
            <w:tcW w:type="dxa" w:w="3212"/>
          </w:tcPr>
          <w:p>
            <w:r>
              <w:t xml:space="preserve">Cheat sheet синтаксиса DSL</w:t>
            </w:r>
          </w:p>
        </w:tc>
        <w:tc>
          <w:tcPr>
            <w:tcW w:type="dxa" w:w="3212"/>
          </w:tcPr>
          <w:p>
            <w:r>
              <w:t xml:space="preserve">Первый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5. Деление на релизы</w:t>
      </w:r>
    </w:p>
    <w:p>
      <w:pPr>
        <w:spacing w:after="120"/>
      </w:pPr>
      <w:r>
        <w:t xml:space="preserve">Совпадает с уже принятой архитектурой реализации нотаций реального продукта (волны реализации) — не изобретается заново для курса, а используется как готовый, архитектурно обоснованный ответ.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Релиз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Состав</w:t>
            </w:r>
          </w:p>
        </w:tc>
        <w:tc>
          <w:tcPr>
            <w:tcW w:type="dxa" w:w="3212"/>
            <w:shd w:fill="D9D9D9" w:val="clear"/>
          </w:tcPr>
          <w:p>
            <w:r>
              <w:rPr>
                <w:b/>
                <w:bCs/>
              </w:rPr>
              <w:t xml:space="preserve">Что проверяется</w:t>
            </w:r>
          </w:p>
        </w:tc>
      </w:tr>
      <w:tr>
        <w:tc>
          <w:tcPr>
            <w:tcW w:type="dxa" w:w="3212"/>
          </w:tcPr>
          <w:p>
            <w:r>
              <w:t xml:space="preserve">Первый релиз (курсовой срез / Волна 1)</w:t>
            </w:r>
          </w:p>
        </w:tc>
        <w:tc>
          <w:tcPr>
            <w:tcW w:type="dxa" w:w="3212"/>
          </w:tcPr>
          <w:p>
            <w:r>
              <w:t xml:space="preserve">DSL-редактор + рендер + сохранение версий + нотация </w:t>
            </w:r>
            <w:r>
              <w:rPr>
                <w:rFonts w:ascii="Consolas" w:cs="Consolas" w:eastAsia="Consolas" w:hAnsi="Consolas"/>
              </w:rPr>
              <w:t xml:space="preserve">erd.crows_foot.logical</w:t>
            </w:r>
            <w:r>
              <w:t xml:space="preserve"> с валидацией + аутентификация</w:t>
            </w:r>
          </w:p>
        </w:tc>
        <w:tc>
          <w:tcPr>
            <w:tcW w:type="dxa" w:w="3212"/>
          </w:tcPr>
          <w:p>
            <w:r>
              <w:t xml:space="preserve">Спрос, готовность платить за базовый AI-режим, retention на минимальном сценарии</w:t>
            </w:r>
          </w:p>
        </w:tc>
      </w:tr>
      <w:tr>
        <w:tc>
          <w:tcPr>
            <w:tcW w:type="dxa" w:w="3212"/>
          </w:tcPr>
          <w:p>
            <w:r>
              <w:t xml:space="preserve">Второй релиз (Волна 2)</w:t>
            </w:r>
          </w:p>
        </w:tc>
        <w:tc>
          <w:tcPr>
            <w:tcW w:type="dxa" w:w="3212"/>
          </w:tcPr>
          <w:p>
            <w:r>
              <w:t xml:space="preserve">UML use case/sequence/activity/state machine, IDEF3, DFD с декомпозицией, совместное редактирование (WebSocket), режимы AI «Исправить код»/«Документация», OAuth-вход</w:t>
            </w:r>
          </w:p>
        </w:tc>
        <w:tc>
          <w:tcPr>
            <w:tcW w:type="dxa" w:w="3212"/>
          </w:tcPr>
          <w:p>
            <w:r>
              <w:t xml:space="preserve">Удержание, готовность команд к совместной работе, рост платящей базы за счёт мест на диаграмму</w:t>
            </w:r>
          </w:p>
        </w:tc>
      </w:tr>
      <w:tr>
        <w:tc>
          <w:tcPr>
            <w:tcW w:type="dxa" w:w="3212"/>
          </w:tcPr>
          <w:p>
            <w:r>
              <w:t xml:space="preserve">Третий релиз (Волна 3)</w:t>
            </w:r>
          </w:p>
        </w:tc>
        <w:tc>
          <w:tcPr>
            <w:tcW w:type="dxa" w:w="3212"/>
          </w:tcPr>
          <w:p>
            <w:r>
              <w:t xml:space="preserve">Остальные виды UML (13 канонических), IDEF1X отдельно от ERD, полные варианты ERD</w:t>
            </w:r>
          </w:p>
        </w:tc>
        <w:tc>
          <w:tcPr>
            <w:tcW w:type="dxa" w:w="3212"/>
          </w:tcPr>
          <w:p>
            <w:r>
              <w:t xml:space="preserve">Масштабирование охвата нотаций для более requirements-тяжёлых команд (аналитики, архитекторы)</w:t>
            </w:r>
          </w:p>
        </w:tc>
      </w:tr>
      <w:tr>
        <w:tc>
          <w:tcPr>
            <w:tcW w:type="dxa" w:w="3212"/>
          </w:tcPr>
          <w:p>
            <w:r>
              <w:t xml:space="preserve">Четвёртый релиз (Волна 4, после MVP)</w:t>
            </w:r>
          </w:p>
        </w:tc>
        <w:tc>
          <w:tcPr>
            <w:tcW w:type="dxa" w:w="3212"/>
          </w:tcPr>
          <w:p>
            <w:r>
              <w:t xml:space="preserve">BPMN всех видов, сети Петри с анализом достижимости для ограниченных сетей, экспорт в нативные форматы</w:t>
            </w:r>
          </w:p>
        </w:tc>
        <w:tc>
          <w:tcPr>
            <w:tcW w:type="dxa" w:w="3212"/>
          </w:tcPr>
          <w:p>
            <w:r>
              <w:t xml:space="preserve">Выход в смежные ниши (бизнес-процессы, формальный анализ) — отдельная волна монетизации для enterprise-сегмента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t xml:space="preserve">6. Итог</w:t>
      </w:r>
    </w:p>
    <w:p>
      <w:pPr>
        <w:spacing w:after="120"/>
      </w:pPr>
      <w:r>
        <w:t xml:space="preserve">Ценностное предложение, бизнес-модель, пользовательские сценарии, состав интерфейса и план релизов DiagramCode для целей этой лабораторной работы совпадают с реально принятыми архитектурными решениями продукта — курсовой анализ не придумывает альтернативную бизнес-логику, а формализует её в структуре, требуемой методикой курса «Электронный бизнес», подтверждая её рыночными данными из ЛР1-5.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2026-09-17T20:15:00.167Z</dcterms:created>
  <dcterms:modified xsi:type="dcterms:W3CDTF">2026-09-17T20:15:00.168Z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