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Министерство образования Республики Беларусь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Учреждение образования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«Белорусский государственный университет информатики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и радиоэлектроники»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Обособленное подразделение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«Институт информационных технологий БГУИР»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Факультет повышения квалификации и переподготовки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Кафедра микропроцессорных систем и сетей</w:t>
      </w:r>
    </w:p>
    <w:p/>
    <w:p/>
    <w:p/>
    <w:p/>
    <w:p>
      <w:pPr>
        <w:jc w:val="center"/>
      </w:pPr>
      <w:r>
        <w:rPr>
          <w:rFonts w:ascii="Times New Roman" w:hAnsi="Times New Roman"/>
          <w:b/>
          <w:i w:val="0"/>
          <w:sz w:val="36"/>
        </w:rPr>
        <w:t>ОТЧЁТ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по практическому занятию №3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по дисциплине «Управление проектами»</w:t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на тему «Управление рисками проекта»</w:t>
      </w:r>
    </w:p>
    <w:p>
      <w:pPr>
        <w:jc w:val="center"/>
      </w:pPr>
      <w:r>
        <w:rPr>
          <w:rFonts w:ascii="Times New Roman" w:hAnsi="Times New Roman"/>
          <w:b w:val="0"/>
          <w:i/>
          <w:sz w:val="28"/>
        </w:rPr>
        <w:t>(на примере проекта DiagramCode)</w:t>
      </w:r>
    </w:p>
    <w:p/>
    <w:p/>
    <w:p/>
    <w:p/>
    <w:p>
      <w:r>
        <w:rPr>
          <w:rFonts w:ascii="Times New Roman" w:hAnsi="Times New Roman"/>
          <w:b w:val="0"/>
          <w:i w:val="0"/>
          <w:sz w:val="28"/>
        </w:rPr>
        <w:t>Слушатель гр. 60121                                                       Хаджинова К. А.</w:t>
      </w:r>
    </w:p>
    <w:p>
      <w:r>
        <w:rPr>
          <w:rFonts w:ascii="Times New Roman" w:hAnsi="Times New Roman"/>
          <w:b w:val="0"/>
          <w:i w:val="0"/>
          <w:sz w:val="28"/>
        </w:rPr>
        <w:t>Руководитель                                                                 И. В. Кашникова</w:t>
      </w:r>
    </w:p>
    <w:p/>
    <w:p/>
    <w:p/>
    <w:p/>
    <w:p/>
    <w:p/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МИНСК 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СОДЕРЖАНИЕ</w:t>
      </w:r>
    </w:p>
    <w:p/>
    <w:p>
      <w:r>
        <w:fldChar w:fldCharType="begin"/>
        <w:instrText xml:space="preserve">TOC \o "1-2" \h \z \u</w:instrText>
        <w:fldChar w:fldCharType="separate"/>
        <w:t>Нажми правой кнопкой -&gt; Обновить поле, чтобы собрать оглавление</w:t>
        <w:fldChar w:fldCharType="end"/>
      </w:r>
    </w:p>
    <w:p>
      <w:r>
        <w:br w:type="page"/>
      </w:r>
    </w:p>
    <w:p>
      <w:pPr>
        <w:pStyle w:val="Heading1"/>
        <w:keepNext/>
        <w:spacing w:before="360" w:after="240"/>
      </w:pPr>
      <w:r>
        <w:rPr>
          <w:rFonts w:ascii="Times New Roman" w:hAnsi="Times New Roman"/>
          <w:b/>
          <w:color w:val="000000"/>
          <w:sz w:val="28"/>
        </w:rPr>
        <w:t>1 ЦЕЛЬ РАБОТЫ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Приобретение практических навыков идентификации проектных рисков, их качественной оценки по критериям вероятности и силы воздействия, построения карты рисков и определения приоритетных мер реагирования, на примере реального проекта </w:t>
      </w:r>
      <w:r>
        <w:rPr>
          <w:rFonts w:ascii="Times New Roman" w:hAnsi="Times New Roman"/>
          <w:i/>
          <w:sz w:val="28"/>
        </w:rPr>
        <w:t>DiagramCode.</w:t>
      </w:r>
    </w:p>
    <w:p>
      <w:pPr>
        <w:pStyle w:val="Heading1"/>
        <w:keepNext/>
        <w:spacing w:before="360" w:after="240"/>
      </w:pPr>
      <w:r>
        <w:rPr>
          <w:rFonts w:ascii="Times New Roman" w:hAnsi="Times New Roman"/>
          <w:b/>
          <w:color w:val="000000"/>
          <w:sz w:val="28"/>
        </w:rPr>
        <w:t>2 ХОД РАБОТЫ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2.1 Обзор предметной области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Рассматривается риск-профиль курсового среза проекта </w:t>
      </w:r>
      <w:r>
        <w:rPr>
          <w:rFonts w:ascii="Times New Roman" w:hAnsi="Times New Roman"/>
          <w:i/>
          <w:sz w:val="28"/>
        </w:rPr>
        <w:t>DiagramCode</w:t>
      </w:r>
      <w:r>
        <w:rPr>
          <w:rFonts w:ascii="Times New Roman" w:hAnsi="Times New Roman"/>
          <w:i w:val="0"/>
          <w:sz w:val="28"/>
        </w:rPr>
        <w:t xml:space="preserve"> на текущей стадии разработки: часть функциональности реализована на отдельных, ещё не смёрженных ветках репозитория, часть нотаций, заявленных обязательными для курсового среза, ещё не реализована, а разработку частично выполняют фоновые ИИ-агенты параллельно с самой разработчицей.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2.2 Теоретические сведения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Риск — неопределённое событие или условие, которое может повлиять на цели проекта; в отличие от проблемы (уже реализовавшегося риска), риск существует как возможность. Управление рисками, согласно </w:t>
      </w:r>
      <w:r>
        <w:rPr>
          <w:rFonts w:ascii="Times New Roman" w:hAnsi="Times New Roman"/>
          <w:i/>
          <w:sz w:val="28"/>
        </w:rPr>
        <w:t>PMBOK</w:t>
      </w:r>
      <w:r>
        <w:rPr>
          <w:rFonts w:ascii="Times New Roman" w:hAnsi="Times New Roman"/>
          <w:i w:val="0"/>
          <w:sz w:val="28"/>
        </w:rPr>
        <w:t>, включает шесть процедур: планирование управления рисками, идентификацию рисков, качественную и количественную оценку, планирование реагирования и мониторинг с контролем.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Идентификация рисков закрепляется в реестре рисков — таблице с описанием риска, его последствий и триггеров (событий-предвестников). Качественная оценка определяет приоритет риска на основе двух параметров — вероятности возникновения и силы воздействия на проект, обычно выражаемых числом от </w:t>
      </w:r>
      <w:r>
        <w:rPr>
          <w:rFonts w:ascii="Times New Roman" w:hAnsi="Times New Roman"/>
          <w:i/>
          <w:sz w:val="28"/>
        </w:rPr>
        <w:t>0</w:t>
      </w:r>
      <w:r>
        <w:rPr>
          <w:rFonts w:ascii="Times New Roman" w:hAnsi="Times New Roman"/>
          <w:i w:val="0"/>
          <w:sz w:val="28"/>
        </w:rPr>
        <w:t xml:space="preserve"> до 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 w:val="0"/>
          <w:sz w:val="28"/>
        </w:rPr>
        <w:t xml:space="preserve"> или качественной шкалой (от «очень низкой» до «очень высокой»); итоговый коэффициент риска вычисляется как произведение этих двух величин, а результат визуализируется в виде карты рисков — точечной диаграммы в осях «вероятность × воздействие».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>Для реагирования на выявленные риски применяются четыре стратегии: уклонение (</w:t>
      </w:r>
      <w:r>
        <w:rPr>
          <w:rFonts w:ascii="Times New Roman" w:hAnsi="Times New Roman"/>
          <w:i/>
          <w:sz w:val="28"/>
        </w:rPr>
        <w:t>avoidance</w:t>
      </w:r>
      <w:r>
        <w:rPr>
          <w:rFonts w:ascii="Times New Roman" w:hAnsi="Times New Roman"/>
          <w:i w:val="0"/>
          <w:sz w:val="28"/>
        </w:rPr>
        <w:t>) — полное устранение источника риска; передача (</w:t>
      </w:r>
      <w:r>
        <w:rPr>
          <w:rFonts w:ascii="Times New Roman" w:hAnsi="Times New Roman"/>
          <w:i/>
          <w:sz w:val="28"/>
        </w:rPr>
        <w:t>transference</w:t>
      </w:r>
      <w:r>
        <w:rPr>
          <w:rFonts w:ascii="Times New Roman" w:hAnsi="Times New Roman"/>
          <w:i w:val="0"/>
          <w:sz w:val="28"/>
        </w:rPr>
        <w:t>) — перекладывание последствий на третью сторону (например, страхование или условия договора); снижение (</w:t>
      </w:r>
      <w:r>
        <w:rPr>
          <w:rFonts w:ascii="Times New Roman" w:hAnsi="Times New Roman"/>
          <w:i/>
          <w:sz w:val="28"/>
        </w:rPr>
        <w:t>mitigation</w:t>
      </w:r>
      <w:r>
        <w:rPr>
          <w:rFonts w:ascii="Times New Roman" w:hAnsi="Times New Roman"/>
          <w:i w:val="0"/>
          <w:sz w:val="28"/>
        </w:rPr>
        <w:t>) — уменьшение вероятности и/или силы воздействия до приемлемого уровня; и принятие (</w:t>
      </w:r>
      <w:r>
        <w:rPr>
          <w:rFonts w:ascii="Times New Roman" w:hAnsi="Times New Roman"/>
          <w:i/>
          <w:sz w:val="28"/>
        </w:rPr>
        <w:t>acceptance</w:t>
      </w:r>
      <w:r>
        <w:rPr>
          <w:rFonts w:ascii="Times New Roman" w:hAnsi="Times New Roman"/>
          <w:i w:val="0"/>
          <w:sz w:val="28"/>
        </w:rPr>
        <w:t>) — осознанный отказ от противодействия риску при сохранении готовности покрыть возможные потери.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2.3 Идентификация и реестр рисков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>По итогам анализа проекта идентифицировано девять рисков, охватывающих технические, организационные и внешние факторы. Реестр рисков с оценкой вероятности (</w:t>
      </w:r>
      <w:r>
        <w:rPr>
          <w:rFonts w:ascii="Times New Roman" w:hAnsi="Times New Roman"/>
          <w:i/>
          <w:sz w:val="28"/>
        </w:rPr>
        <w:t>F</w:t>
      </w:r>
      <w:r>
        <w:rPr>
          <w:rFonts w:ascii="Times New Roman" w:hAnsi="Times New Roman"/>
          <w:i w:val="0"/>
          <w:sz w:val="28"/>
        </w:rPr>
        <w:t>) и силы воздействия (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i w:val="0"/>
          <w:sz w:val="28"/>
        </w:rPr>
        <w:t xml:space="preserve">) по шкале от </w:t>
      </w:r>
      <w:r>
        <w:rPr>
          <w:rFonts w:ascii="Times New Roman" w:hAnsi="Times New Roman"/>
          <w:i/>
          <w:sz w:val="28"/>
        </w:rPr>
        <w:t>0</w:t>
      </w:r>
      <w:r>
        <w:rPr>
          <w:rFonts w:ascii="Times New Roman" w:hAnsi="Times New Roman"/>
          <w:i w:val="0"/>
          <w:sz w:val="28"/>
        </w:rPr>
        <w:t xml:space="preserve"> до 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 w:val="0"/>
          <w:sz w:val="28"/>
        </w:rPr>
        <w:t xml:space="preserve"> приведён в таблице </w:t>
      </w:r>
      <w:r>
        <w:rPr>
          <w:rFonts w:ascii="Times New Roman" w:hAnsi="Times New Roman"/>
          <w:i/>
          <w:sz w:val="28"/>
        </w:rPr>
        <w:t>2.1</w:t>
      </w:r>
      <w:r>
        <w:rPr>
          <w:rFonts w:ascii="Times New Roman" w:hAnsi="Times New Roman"/>
          <w:i w:val="0"/>
          <w:sz w:val="28"/>
        </w:rPr>
        <w:t xml:space="preserve">; итоговый коэффициент риска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i w:val="0"/>
          <w:sz w:val="28"/>
        </w:rPr>
        <w:t xml:space="preserve"> вычислен как произведение </w:t>
      </w:r>
      <w:r>
        <w:rPr>
          <w:rFonts w:ascii="Times New Roman" w:hAnsi="Times New Roman"/>
          <w:i/>
          <w:sz w:val="28"/>
        </w:rPr>
        <w:t>F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F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G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H=F×G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Ветки feature/notation-bpmn-and-collab и feature/real-ide-app не смёржены к дате защиты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0.5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0.9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0.45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Нотации uml.class и idef0 (FR-NOT-06) не реализованы к сроку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0.6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0.7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0.42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Качество кода фоновых ИИ-агентов не соответствует ожиданиям при ручной проверке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0.5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0.6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0.3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Единственный разработчик перегружен или заболевает перед защитой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0.8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Смешение трёх обязательств (лабы Часть 1/2, курсовая, реальный продукт) в одном репозитории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0.4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0.6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Реальная БД Neon PostgreSQL и Redis не подключены и не проверены end-to-end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0.4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0.5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0.2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AI-провайдер остаётся в режиме заглушки (StubAIProvider)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0.6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0.3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0.18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Хостинг-провайдер (Render/Netlify) недоступен или меняет бесплатные лимиты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0.7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0.14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Дата защиты курсовой работы смещается или уточняется поздно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0.2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0.5</w:t>
            </w:r>
          </w:p>
        </w:tc>
        <w:tc>
          <w:tcPr>
            <w:tcW w:type="dxa" w:w="1994"/>
          </w:tcPr>
          <w:p>
            <w:r/>
            <w:r>
              <w:rPr>
                <w:rFonts w:ascii="Times New Roman" w:hAnsi="Times New Roman"/>
                <w:sz w:val="24"/>
              </w:rPr>
              <w:t>0.1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Таблица упорядочена по убыванию итогового коэффициента риска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i w:val="0"/>
          <w:sz w:val="28"/>
        </w:rPr>
        <w:t xml:space="preserve"> — так наиболее приоритетные риски (несмёрженные ветки разработки и нереализованные обязательные нотации) оказываются первыми, что соответствует общей стратегии анализа рисков: начинать с наиболее значимых.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2.4 Карта рисков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Реестр рисков внесён в структурную таблицу листа «Таблица с рисками» файла Карта рисков - </w:t>
      </w:r>
      <w:r>
        <w:rPr>
          <w:rFonts w:ascii="Times New Roman" w:hAnsi="Times New Roman"/>
          <w:i/>
          <w:sz w:val="28"/>
        </w:rPr>
        <w:t>DiagramCode.xlsx</w:t>
      </w:r>
      <w:r>
        <w:rPr>
          <w:rFonts w:ascii="Times New Roman" w:hAnsi="Times New Roman"/>
          <w:i w:val="0"/>
          <w:sz w:val="28"/>
        </w:rPr>
        <w:t xml:space="preserve">; встроенная диаграмма рассеяния на листе «Карта рисков» того же файла автоматически отображает каждый риск точкой в осях «вероятность возникновения × сила воздействия» (см. рисунок </w:t>
      </w:r>
      <w:r>
        <w:rPr>
          <w:rFonts w:ascii="Times New Roman" w:hAnsi="Times New Roman"/>
          <w:i/>
          <w:sz w:val="28"/>
        </w:rPr>
        <w:t>2.1</w:t>
      </w:r>
      <w:r>
        <w:rPr>
          <w:rFonts w:ascii="Times New Roman" w:hAnsi="Times New Roman"/>
          <w:i w:val="0"/>
          <w:sz w:val="28"/>
        </w:rPr>
        <w:t>). Риски в правом верхнем углу карты (высокая вероятность и высокое воздействие одновременно) требуют первоочередного внимания.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Тот же реестр подготовлен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i w:val="0"/>
          <w:sz w:val="28"/>
        </w:rPr>
        <w:t xml:space="preserve"> Таблиц (файл </w:t>
      </w:r>
      <w:r>
        <w:rPr>
          <w:rFonts w:ascii="Times New Roman" w:hAnsi="Times New Roman"/>
          <w:i/>
          <w:sz w:val="28"/>
        </w:rPr>
        <w:t>google-sheets/3</w:t>
      </w:r>
      <w:r>
        <w:rPr>
          <w:rFonts w:ascii="Times New Roman" w:hAnsi="Times New Roman"/>
          <w:i w:val="0"/>
          <w:sz w:val="28"/>
        </w:rPr>
        <w:t xml:space="preserve"> - Риски - </w:t>
      </w:r>
      <w:r>
        <w:rPr>
          <w:rFonts w:ascii="Times New Roman" w:hAnsi="Times New Roman"/>
          <w:i/>
          <w:sz w:val="28"/>
        </w:rPr>
        <w:t>DiagramCode.tsv</w:t>
      </w:r>
      <w:r>
        <w:rPr>
          <w:rFonts w:ascii="Times New Roman" w:hAnsi="Times New Roman"/>
          <w:i w:val="0"/>
          <w:sz w:val="28"/>
        </w:rPr>
        <w:t xml:space="preserve">): после импорта таблица сама вычисляет коэффициент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i w:val="0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F</w:t>
      </w:r>
      <w:r>
        <w:rPr>
          <w:rFonts w:ascii="Times New Roman" w:hAnsi="Times New Roman"/>
          <w:i w:val="0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i w:val="0"/>
          <w:sz w:val="28"/>
        </w:rPr>
        <w:t xml:space="preserve">, место риска в рейтинге и уровень приоритета по порогам из легенды исходного шаблона (высокий — от </w:t>
      </w:r>
      <w:r>
        <w:rPr>
          <w:rFonts w:ascii="Times New Roman" w:hAnsi="Times New Roman"/>
          <w:i/>
          <w:sz w:val="28"/>
        </w:rPr>
        <w:t>0</w:t>
      </w:r>
      <w:r>
        <w:rPr>
          <w:rFonts w:ascii="Times New Roman" w:hAnsi="Times New Roman"/>
          <w:i w:val="0"/>
          <w:sz w:val="28"/>
        </w:rPr>
        <w:t>,</w:t>
      </w:r>
      <w:r>
        <w:rPr>
          <w:rFonts w:ascii="Times New Roman" w:hAnsi="Times New Roman"/>
          <w:i/>
          <w:sz w:val="28"/>
        </w:rPr>
        <w:t>505</w:t>
      </w:r>
      <w:r>
        <w:rPr>
          <w:rFonts w:ascii="Times New Roman" w:hAnsi="Times New Roman"/>
          <w:i w:val="0"/>
          <w:sz w:val="28"/>
        </w:rPr>
        <w:t xml:space="preserve">, средний — от </w:t>
      </w:r>
      <w:r>
        <w:rPr>
          <w:rFonts w:ascii="Times New Roman" w:hAnsi="Times New Roman"/>
          <w:i/>
          <w:sz w:val="28"/>
        </w:rPr>
        <w:t>0</w:t>
      </w:r>
      <w:r>
        <w:rPr>
          <w:rFonts w:ascii="Times New Roman" w:hAnsi="Times New Roman"/>
          <w:i w:val="0"/>
          <w:sz w:val="28"/>
        </w:rPr>
        <w:t>,</w:t>
      </w:r>
      <w:r>
        <w:rPr>
          <w:rFonts w:ascii="Times New Roman" w:hAnsi="Times New Roman"/>
          <w:i/>
          <w:sz w:val="28"/>
        </w:rPr>
        <w:t>14</w:t>
      </w:r>
      <w:r>
        <w:rPr>
          <w:rFonts w:ascii="Times New Roman" w:hAnsi="Times New Roman"/>
          <w:i w:val="0"/>
          <w:sz w:val="28"/>
        </w:rPr>
        <w:t xml:space="preserve"> до </w:t>
      </w:r>
      <w:r>
        <w:rPr>
          <w:rFonts w:ascii="Times New Roman" w:hAnsi="Times New Roman"/>
          <w:i/>
          <w:sz w:val="28"/>
        </w:rPr>
        <w:t>0</w:t>
      </w:r>
      <w:r>
        <w:rPr>
          <w:rFonts w:ascii="Times New Roman" w:hAnsi="Times New Roman"/>
          <w:i w:val="0"/>
          <w:sz w:val="28"/>
        </w:rPr>
        <w:t>,</w:t>
      </w:r>
      <w:r>
        <w:rPr>
          <w:rFonts w:ascii="Times New Roman" w:hAnsi="Times New Roman"/>
          <w:i/>
          <w:sz w:val="28"/>
        </w:rPr>
        <w:t>505</w:t>
      </w:r>
      <w:r>
        <w:rPr>
          <w:rFonts w:ascii="Times New Roman" w:hAnsi="Times New Roman"/>
          <w:i w:val="0"/>
          <w:sz w:val="28"/>
        </w:rPr>
        <w:t xml:space="preserve">, низкий — меньше </w:t>
      </w:r>
      <w:r>
        <w:rPr>
          <w:rFonts w:ascii="Times New Roman" w:hAnsi="Times New Roman"/>
          <w:i/>
          <w:sz w:val="28"/>
        </w:rPr>
        <w:t>0</w:t>
      </w:r>
      <w:r>
        <w:rPr>
          <w:rFonts w:ascii="Times New Roman" w:hAnsi="Times New Roman"/>
          <w:i w:val="0"/>
          <w:sz w:val="28"/>
        </w:rPr>
        <w:t>,</w:t>
      </w:r>
      <w:r>
        <w:rPr>
          <w:rFonts w:ascii="Times New Roman" w:hAnsi="Times New Roman"/>
          <w:i/>
          <w:sz w:val="28"/>
        </w:rPr>
        <w:t>14</w:t>
      </w:r>
      <w:r>
        <w:rPr>
          <w:rFonts w:ascii="Times New Roman" w:hAnsi="Times New Roman"/>
          <w:i w:val="0"/>
          <w:sz w:val="28"/>
        </w:rPr>
        <w:t xml:space="preserve">). По этим порогам ни один из девяти рисков проекта не попадает в высокий уровень: наибольший коэффициент — </w:t>
      </w:r>
      <w:r>
        <w:rPr>
          <w:rFonts w:ascii="Times New Roman" w:hAnsi="Times New Roman"/>
          <w:i/>
          <w:sz w:val="28"/>
        </w:rPr>
        <w:t>0</w:t>
      </w:r>
      <w:r>
        <w:rPr>
          <w:rFonts w:ascii="Times New Roman" w:hAnsi="Times New Roman"/>
          <w:i w:val="0"/>
          <w:sz w:val="28"/>
        </w:rPr>
        <w:t>,</w:t>
      </w:r>
      <w:r>
        <w:rPr>
          <w:rFonts w:ascii="Times New Roman" w:hAnsi="Times New Roman"/>
          <w:i/>
          <w:sz w:val="28"/>
        </w:rPr>
        <w:t>45</w:t>
      </w:r>
      <w:r>
        <w:rPr>
          <w:rFonts w:ascii="Times New Roman" w:hAnsi="Times New Roman"/>
          <w:i w:val="0"/>
          <w:sz w:val="28"/>
        </w:rPr>
        <w:t>, поэтому приоритетность внутри среднего уровня определяется порядком в рейтинге.</w:t>
      </w:r>
    </w:p>
    <w:p>
      <w:pPr>
        <w:ind w:firstLine="709"/>
      </w:pPr>
      <w:r>
        <w:rPr>
          <w:rFonts w:ascii="Times New Roman" w:hAnsi="Times New Roman"/>
          <w:i/>
          <w:sz w:val="28"/>
        </w:rPr>
        <w:t xml:space="preserve">[Сюда вставить скриншот карты рисков из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i/>
          <w:sz w:val="28"/>
        </w:rPr>
        <w:t xml:space="preserve"> Таблиц или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i/>
          <w:sz w:val="28"/>
        </w:rPr>
        <w:t xml:space="preserve"> — инструкция в файле «ЧТО ОСТАЛОСЬ СДЕЛАТЬ ТЕБЕ.</w:t>
      </w:r>
      <w:r>
        <w:rPr>
          <w:rFonts w:ascii="Times New Roman" w:hAnsi="Times New Roman"/>
          <w:i/>
          <w:sz w:val="28"/>
        </w:rPr>
        <w:t>md</w:t>
      </w:r>
      <w:r>
        <w:rPr>
          <w:rFonts w:ascii="Times New Roman" w:hAnsi="Times New Roman"/>
          <w:i/>
          <w:sz w:val="28"/>
        </w:rPr>
        <w:t xml:space="preserve">», шаги 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/>
          <w:sz w:val="28"/>
        </w:rPr>
        <w:t>–</w:t>
      </w:r>
      <w:r>
        <w:rPr>
          <w:rFonts w:ascii="Times New Roman" w:hAnsi="Times New Roman"/>
          <w:i/>
          <w:sz w:val="28"/>
        </w:rPr>
        <w:t>3</w:t>
      </w:r>
      <w:r>
        <w:rPr>
          <w:rFonts w:ascii="Times New Roman" w:hAnsi="Times New Roman"/>
          <w:i/>
          <w:sz w:val="28"/>
        </w:rPr>
        <w:t>]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Рисунок 2.1 – Карта рисков проекта DiagramCode: положение 9 идентифицированных рисков на матрице «вероятность × сила воздействия», построено автоматически по данным реестра рисков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2.5 Меры реагирования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>Для двух наиболее приоритетных рисков выбрана стратегия снижения (</w:t>
      </w:r>
      <w:r>
        <w:rPr>
          <w:rFonts w:ascii="Times New Roman" w:hAnsi="Times New Roman"/>
          <w:i/>
          <w:sz w:val="28"/>
        </w:rPr>
        <w:t>mitigation</w:t>
      </w:r>
      <w:r>
        <w:rPr>
          <w:rFonts w:ascii="Times New Roman" w:hAnsi="Times New Roman"/>
          <w:i w:val="0"/>
          <w:sz w:val="28"/>
        </w:rPr>
        <w:t>): риск несмёрженных веток снижается ранним слиянием обеих веток в единую защищаемую ветку с прогоном тестов после каждого объединения, а риск нереализованных нотаций — либо честной фиксацией фактического объёма в отчёте, либо резервированием времени на их доработку. Для риска, связанного с недоступностью хостинг-провайдера, применена стратегия снижения через резервный вариант локального запуска (</w:t>
      </w:r>
      <w:r>
        <w:rPr>
          <w:rFonts w:ascii="Times New Roman" w:hAnsi="Times New Roman"/>
          <w:i/>
          <w:sz w:val="28"/>
        </w:rPr>
        <w:t>docker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compose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up</w:t>
      </w:r>
      <w:r>
        <w:rPr>
          <w:rFonts w:ascii="Times New Roman" w:hAnsi="Times New Roman"/>
          <w:i w:val="0"/>
          <w:sz w:val="28"/>
        </w:rPr>
        <w:t>), а для риска смещения даты защиты — стратегия принятия (</w:t>
      </w:r>
      <w:r>
        <w:rPr>
          <w:rFonts w:ascii="Times New Roman" w:hAnsi="Times New Roman"/>
          <w:i/>
          <w:sz w:val="28"/>
        </w:rPr>
        <w:t>acceptance</w:t>
      </w:r>
      <w:r>
        <w:rPr>
          <w:rFonts w:ascii="Times New Roman" w:hAnsi="Times New Roman"/>
          <w:i w:val="0"/>
          <w:sz w:val="28"/>
        </w:rPr>
        <w:t xml:space="preserve">) с запасом времени в графике проекта. Полный перечень мер по каждому риску приведён в столбце «Мероприятия по минимизации рисков» файла Карта рисков - </w:t>
      </w:r>
      <w:r>
        <w:rPr>
          <w:rFonts w:ascii="Times New Roman" w:hAnsi="Times New Roman"/>
          <w:i/>
          <w:sz w:val="28"/>
        </w:rPr>
        <w:t>DiagramCode.xlsx.</w:t>
      </w:r>
    </w:p>
    <w:p>
      <w:pPr>
        <w:pStyle w:val="Heading1"/>
        <w:keepNext/>
        <w:spacing w:before="360" w:after="240"/>
      </w:pPr>
      <w:r>
        <w:rPr>
          <w:rFonts w:ascii="Times New Roman" w:hAnsi="Times New Roman"/>
          <w:b/>
          <w:color w:val="000000"/>
          <w:sz w:val="28"/>
        </w:rPr>
        <w:t>ВЫВОДЫ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В ходе практического занятия идентифицированы девять рисков проекта </w:t>
      </w:r>
      <w:r>
        <w:rPr>
          <w:rFonts w:ascii="Times New Roman" w:hAnsi="Times New Roman"/>
          <w:i/>
          <w:sz w:val="28"/>
        </w:rPr>
        <w:t>DiagramCode</w:t>
      </w:r>
      <w:r>
        <w:rPr>
          <w:rFonts w:ascii="Times New Roman" w:hAnsi="Times New Roman"/>
          <w:i w:val="0"/>
          <w:sz w:val="28"/>
        </w:rPr>
        <w:t>, для каждого определены вероятность возникновения и сила воздействия, вычислен итоговый коэффициент риска и построена карта рисков в осях «вероятность × воздействие». Наиболее приоритетными оказались риск несмёрженных веток разработки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i w:val="0"/>
          <w:sz w:val="28"/>
        </w:rPr>
        <w:t>=</w:t>
      </w:r>
      <w:r>
        <w:rPr>
          <w:rFonts w:ascii="Times New Roman" w:hAnsi="Times New Roman"/>
          <w:i/>
          <w:sz w:val="28"/>
        </w:rPr>
        <w:t>0</w:t>
      </w:r>
      <w:r>
        <w:rPr>
          <w:rFonts w:ascii="Times New Roman" w:hAnsi="Times New Roman"/>
          <w:i w:val="0"/>
          <w:sz w:val="28"/>
        </w:rPr>
        <w:t>,</w:t>
      </w:r>
      <w:r>
        <w:rPr>
          <w:rFonts w:ascii="Times New Roman" w:hAnsi="Times New Roman"/>
          <w:i/>
          <w:sz w:val="28"/>
        </w:rPr>
        <w:t>45</w:t>
      </w:r>
      <w:r>
        <w:rPr>
          <w:rFonts w:ascii="Times New Roman" w:hAnsi="Times New Roman"/>
          <w:i w:val="0"/>
          <w:sz w:val="28"/>
        </w:rPr>
        <w:t>) и риск нереализованных обязательных нотаций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i w:val="0"/>
          <w:sz w:val="28"/>
        </w:rPr>
        <w:t>=</w:t>
      </w:r>
      <w:r>
        <w:rPr>
          <w:rFonts w:ascii="Times New Roman" w:hAnsi="Times New Roman"/>
          <w:i/>
          <w:sz w:val="28"/>
        </w:rPr>
        <w:t>0</w:t>
      </w:r>
      <w:r>
        <w:rPr>
          <w:rFonts w:ascii="Times New Roman" w:hAnsi="Times New Roman"/>
          <w:i w:val="0"/>
          <w:sz w:val="28"/>
        </w:rPr>
        <w:t>,</w:t>
      </w:r>
      <w:r>
        <w:rPr>
          <w:rFonts w:ascii="Times New Roman" w:hAnsi="Times New Roman"/>
          <w:i/>
          <w:sz w:val="28"/>
        </w:rPr>
        <w:t>42</w:t>
      </w:r>
      <w:r>
        <w:rPr>
          <w:rFonts w:ascii="Times New Roman" w:hAnsi="Times New Roman"/>
          <w:i w:val="0"/>
          <w:sz w:val="28"/>
        </w:rPr>
        <w:t xml:space="preserve">) — для обоих определены конкретные меры снижения. Расчёт коэффициентов дополнительно проверен независимым скриптом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i w:val="0"/>
          <w:sz w:val="28"/>
        </w:rPr>
        <w:t xml:space="preserve"> без использования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i w:val="0"/>
          <w:sz w:val="28"/>
        </w:rPr>
        <w:t>, что подтверждает его корректность.</w:t>
      </w:r>
    </w:p>
    <w:p>
      <w:r>
        <w:rPr>
          <w:rFonts w:ascii="Times New Roman" w:hAnsi="Times New Roman"/>
          <w:b w:val="0"/>
          <w:i w:val="0"/>
          <w:sz w:val="28"/>
        </w:rPr>
        <w:t>Ссылка на репозиторий: https://github.com/KsushaKhadzhinova/ProjectManagement</w:t>
      </w:r>
    </w:p>
    <w:sectPr w:rsidR="00FC693F" w:rsidRPr="0006063C" w:rsidSect="00034616"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