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Учреждение образования «Белорусский государственный университет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информатики и радиоэлектроники»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Обособленное подразделение «Институт информационных технологий БГУИР»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Факультет повышения квалификации и переподготовки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Кафедра микропроцессорных систем и сетей</w:t>
      </w:r>
    </w:p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32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по практическому занятию 1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по дисциплине «Управление проектами»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на тему «Разработка концепции проекта»</w:t>
      </w:r>
    </w:p>
    <w:p>
      <w:pPr>
        <w:jc w:val="center"/>
      </w:pPr>
      <w:r>
        <w:rPr>
          <w:rFonts w:ascii="Times New Roman" w:hAnsi="Times New Roman"/>
          <w:b w:val="0"/>
          <w:i/>
          <w:sz w:val="24"/>
        </w:rPr>
        <w:t>(проект DiagramCode)</w:t>
      </w:r>
    </w:p>
    <w:p/>
    <w:p/>
    <w:p/>
    <w:p/>
    <w:p>
      <w:r>
        <w:rPr>
          <w:rFonts w:ascii="Times New Roman" w:hAnsi="Times New Roman"/>
          <w:b w:val="0"/>
          <w:i w:val="0"/>
          <w:sz w:val="24"/>
        </w:rPr>
        <w:t>Слушатель гр. 60121                                                            Хаджинова К.</w:t>
      </w:r>
    </w:p>
    <w:p>
      <w:r>
        <w:rPr>
          <w:rFonts w:ascii="Times New Roman" w:hAnsi="Times New Roman"/>
          <w:b w:val="0"/>
          <w:i w:val="0"/>
          <w:sz w:val="24"/>
        </w:rPr>
        <w:t>Руководитель                                                                          И.В. Кашникова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МИНСК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РАЗДЕЛ 1. ОБОСНОВАНИЕ ПРОЕКТА (BUSINESS CASE)</w:t>
      </w:r>
    </w:p>
    <w:p>
      <w:pPr>
        <w:pStyle w:val="Heading2"/>
      </w:pPr>
      <w:r>
        <w:rPr>
          <w:rFonts w:ascii="Times New Roman" w:hAnsi="Times New Roman"/>
          <w:color w:val="000000"/>
        </w:rPr>
        <w:t>1.1 Ключевые вопросы (модель 5W)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Элемент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Ключевые вопросы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Ваш ответ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WHAT?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Что делаем? Какую проблему решаем?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DiagramCode — веб-сервис визуального моделирования диаграмм (UML, ERD, IDEF0/1X/3, DFD, BPMN, сети Петри) через собственный текстовый DSL («diagram as code»), с рендером, git-подобным версионированием и AI-генерацией по тексту/изображению. Решает проблему разрозненности рынка: одни инструменты дают DSL, но только для инженерных нотаций (PlantUML, Mermaid, D2), другие — только методологические нотации через устаревший GUI (Ramus, BPWin); ни один не даёт git-подобное версионирование диаграмм на уровне данных.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WHO?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Для кого? Кто заказчик?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Разработчики и аналитики, которым нужно описывать структуры и процессы диаграммами и хранить их версии как код (ERD/UML — разработчики, BPMN/DFD/IDEF0 — бизнес- и системные аналитики). Заказчик курсового среза — защита курсовой работы по дисциплине «Управление проектами»/«Интернет-технологии и веб-программирование» (БГУИР, группа 60121).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WHY?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Почему это важно? Почему сейчас?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На рынке нет инструмента, сочетающего DSL с версионированием на уровне БД, инженерные и методологические нотации в одном продукте и AI-генерацию в общем цикле сохранения (ближайший конкурент, Eraser.io, не покрывает IDEF/сети Петри). Сейчас — потому что срок реализации привязан к фиксированной дате защиты курсовой работы.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WHEN?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Когда завершаем? (MVP и релиз)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MVP (курсовой срез, Волна 1): DSL-редактор + рендер + сохранение + нотация ERD + аутентификация — к дате защиты курсовой работы. Полный охват нотаций (UML, IDEF, BPMN, сети Петри) — после защиты, отдельными волнами (см. раздел 2.1).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WHERE?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Где используется? (платформы, браузеры)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Веб-приложение (React PWA) в актуальных версиях Chrome/Firefox/Edge на десктопе; backend развёрнут в облаке (Render), доступ — через браузер без установки.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1.2 Бизнес-окружение проекта</w:t>
      </w:r>
    </w:p>
    <w:p>
      <w:r>
        <w:rPr>
          <w:rFonts w:ascii="Times New Roman" w:hAnsi="Times New Roman"/>
          <w:b w:val="0"/>
          <w:i w:val="0"/>
          <w:sz w:val="24"/>
        </w:rPr>
        <w:t>DiagramCode развивается на пересечении учебного требования (курсовая работа по дисциплине «Управление проектами», БГУИР, группа 60121) и реального продуктового интереса автора к инструментам категории diagram-as-code. Анализ рынка показывает, что существующие инструменты специализируются либо на текстовом DSL для инженерных нотаций (PlantUML, Mermaid, D2), либо на устаревших GUI-редакторах методологических нотаций (Ramus, BPWin), и лишь один конкурент (Eraser.io) сочетает DSL, AI и совместную работу, но не покрывает IDEF/сети Петри и не даёт версионирование на уровне собственной БД. Проект нужен сейчас, потому что срок защиты курсовой работы фиксирован учебным планом, а архитектура (модульный монолит, реестр нотаций, инверсия зависимостей на интерфейсах) уже спроектирована и частично реализована, что снижает риск не успеть к сроку.</w:t>
      </w:r>
    </w:p>
    <w:p>
      <w:r>
        <w:rPr>
          <w:rFonts w:ascii="Times New Roman" w:hAnsi="Times New Roman"/>
          <w:b/>
          <w:i w:val="0"/>
          <w:sz w:val="24"/>
        </w:rPr>
        <w:t>Проблемы →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Проблема (как есть сейчас)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Решение (что сделает продукт)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Диаграммы редактируются мышью в GUI, историю правок нельзя посмотреть построчно, как в git.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Собственный DSL с git-подобной моделью версий (Commit+Blob, дедупликация по SHA-256, построчная история изменений).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Инструменты для инженерных нотаций (UML/ERD) и для методологических (IDEF0/1X/3, BPMN, сети Петри) — разные, несовместимые продукты.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Единый реестр нотаций (plugin-архитектура, Open/Closed Principle), покрывающий оба лагеря в одном приложении.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Создание диаграммы с нуля требует знания синтаксиса DSL с первого дня.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AI-генерация DSL-кода по текстовому описанию или загруженному изображению существующей диаграммы.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1.3 SMART-цель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Ваш ответ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 (Что конкретно делаем?)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Реализовать веб-сервис DiagramCode в объёме курсового среза (Волна 1): DSL-редактор с подсветкой синтаксиса, парсер DSL (Lark), рендер и валидация нотации erd.crows_foot.logical, сохранение версий (commit/blob), аутентификация пользователей (JWT).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 (Как измерим успех?)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Все backend- (pytest) и frontend-тесты (Jest) защищаемой ветки проходят зелёным; пользователь проходит путь регистрация → написание DSL → рендер → сохранение версии без ошибок; отчёт (РПЗ) объёмом 25–30 страниц принят руководителем.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 (Почему это достижимо?)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Архитектура (модульный монолит, слои api/services/repositories/domain, DI на интерфейсах) уже спроектирована и частично реализована; нотация ERD и аутентификация — единственный обязательный по объёму модуль, укладывающийся в ~30 учебных часов курсового среза.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 (Как решает проблемы бизнеса?)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Закрывает проблему из раздела 1.2 — отсутствие единого инструмента с DSL и версионированием — и одновременно закрывает обязательный по учебному плану модуль дисциплины.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 (К какому сроку сделаем?)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 дате защиты курсовой работы по дисциплине «Управление проектами» / ИТиВП Часть 2 (по расписанию сессии группы 60121).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Итоговая SMART-цель (одно предложение):</w:t>
      </w:r>
    </w:p>
    <w:p>
      <w:r>
        <w:rPr>
          <w:rFonts w:ascii="Times New Roman" w:hAnsi="Times New Roman"/>
          <w:b w:val="0"/>
          <w:i w:val="0"/>
          <w:sz w:val="24"/>
        </w:rPr>
        <w:t>К дате защиты курсовой работы реализовать и продемонстрировать веб-сервис DiagramCode в объёме курсового среза (DSL-редактор, рендер и валидация нотации ERD, версионирование, аутентификация), подтверждённый прохождением всех автотестов и работающим сквозным пользовательским сценарием.</w:t>
      </w:r>
    </w:p>
    <w:p>
      <w:pPr>
        <w:pStyle w:val="Heading2"/>
      </w:pPr>
      <w:r>
        <w:rPr>
          <w:rFonts w:ascii="Times New Roman" w:hAnsi="Times New Roman"/>
          <w:color w:val="000000"/>
        </w:rPr>
        <w:t>1.4 Правила приёмки</w:t>
      </w:r>
    </w:p>
    <w:p>
      <w:r>
        <w:rPr>
          <w:rFonts w:ascii="Times New Roman" w:hAnsi="Times New Roman"/>
          <w:b w:val="0"/>
          <w:i w:val="0"/>
          <w:sz w:val="24"/>
        </w:rPr>
        <w:t>Критерии, когда заказчик (руководитель курсовой работы) примет работу:</w:t>
      </w:r>
    </w:p>
    <w:p>
      <w:pPr>
        <w:pStyle w:val="ListBullet"/>
      </w:pPr>
      <w:r>
        <w:t>Пользователь может зарегистрироваться и войти по email и паролю (JWT-токен выдаётся и проверяется).</w:t>
      </w:r>
    </w:p>
    <w:p>
      <w:pPr>
        <w:pStyle w:val="ListBullet"/>
      </w:pPr>
      <w:r>
        <w:t>Пользователь может написать DSL-код диаграммы erd.crows_foot.logical и получить рендер в SVG по кнопке Run.</w:t>
      </w:r>
    </w:p>
    <w:p>
      <w:pPr>
        <w:pStyle w:val="ListBullet"/>
      </w:pPr>
      <w:r>
        <w:t>Система показывает ошибки и предупреждения валидации (например, отсутствие первичного ключа сущности), не блокируя рендер предупреждениями.</w:t>
      </w:r>
    </w:p>
    <w:p>
      <w:pPr>
        <w:pStyle w:val="ListBullet"/>
      </w:pPr>
      <w:r>
        <w:t>Пользователь может сохранить версию (commit) DSL-кода и увидеть её в списке версий диаграммы.</w:t>
      </w:r>
    </w:p>
    <w:p>
      <w:pPr>
        <w:pStyle w:val="ListBullet"/>
      </w:pPr>
      <w:r>
        <w:t>Все backend- и frontend-автотесты защищаемой ветки проходят зелёным во время демонстрации.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1.5 Допущения проекта</w:t>
      </w:r>
    </w:p>
    <w:p>
      <w:r>
        <w:rPr>
          <w:rFonts w:ascii="Times New Roman" w:hAnsi="Times New Roman"/>
          <w:b w:val="0"/>
          <w:i w:val="0"/>
          <w:sz w:val="24"/>
        </w:rPr>
        <w:t>Что мы заранее предполагаем, но не можем гарантировать. Если допущение не сбудется — проект может быть сорван.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Допущение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Влияние на проект (если не сбудется)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Ветки feature/notation-bpmn-and-collab и feature/real-ide-app будут смёржены в одну защищаемую ветку до защиты.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Если не смёржить — на защите нельзя показать одновременно бэкенд и новый фронтенд как единое приложение.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Реальная облачная БД (Neon PostgreSQL) не обязательна для защиты — достаточно Docker Compose с локальным Postgres.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Если потребуют демонстрацию на облачной БД — понадобится дополнительное время на подключение и сквозную проверку Neon/Redis.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Руководитель (И.В. Кашникова) принимает вариант темы курсовой работы «не по типовому варианту».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Если согласование не подтверждено — потребуется либо переубедить руководителя, либо экстренно адаптировать РПЗ под типовой шаблон.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AI-провайдер работает в режиме заглушки (StubAIProvider) без реального API-ключа.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Демонстрация AI-режимов будет на заглушке, а не на реальной генерации — не является дефектом объёма курсового среза, так как AI вне Волны 1.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Нотации uml.class и idef0 (формально Should have — см. раздел 2.1, не входят в Must have MVP) успеют получить хотя бы минимальную реализацию до защиты, если останется время сверх обязательного объёма.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Если не успеть — объём защиты честно ограничивается фактическим Must have (только erd), без переноса этих нотаций в обязательный список задним числом.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РАЗДЕЛ 2. СОДЕРЖАНИЕ И ГРАНИЦЫ ПРОЕКТА (SCOPE)</w:t>
      </w:r>
    </w:p>
    <w:p>
      <w:pPr>
        <w:pStyle w:val="Heading2"/>
      </w:pPr>
      <w:r>
        <w:rPr>
          <w:rFonts w:ascii="Times New Roman" w:hAnsi="Times New Roman"/>
          <w:color w:val="000000"/>
        </w:rPr>
        <w:t>2.1 MoSCoW-приоритизация требований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Приоритет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Расшифровка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Требования вашего проекта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Без этого система не имеет смысла. Сделать обязательно.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DSL-редактор (Monaco) с подсветкой синтаксиса</w:t>
              <w:br/>
              <w:t>2. Парсер DSL (Lark) в промежуточное представление DiagramModel</w:t>
              <w:br/>
              <w:t>3. Нотация erd.crows_foot.logical: валидация + рендер в SVG</w:t>
              <w:br/>
              <w:t>4. Сохранение версий (commit/blob, дедупликация по SHA-256)</w:t>
              <w:br/>
              <w:t>5. Аутентификация (регистрация, логин, JWT)</w:t>
              <w:br/>
              <w:t>6. REST API диаграмм (создание, рендер, версии)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Should have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Важно, но можно отложить на второй релиз.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Нотации uml.class и idef0 (заявлены обязательными в FR-NOT-06, но не реализованы на момент написания концепции)</w:t>
              <w:br/>
              <w:t>2. История версий с построчным diff и откатом (rollback)</w:t>
              <w:br/>
              <w:t>3. AI-генерация DSL из текста через реальный провайдер (не только заглушку)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Could have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Хорошо бы, если останутся ресурсы.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Совместное редактирование диаграмм (роли владелец/соавтор)</w:t>
              <w:br/>
              <w:t>2. Экспорт в PlantUML/Mermaid/BPMN XML/drawio-XML</w:t>
              <w:br/>
              <w:t>3. Многоязычный интерфейс (i18n, переключатель языка)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Won't have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Сознательно не делаем в этом проекте.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Формальный анализ сетей Петри для неограниченных сетей (EXPSPACE-полная задача)</w:t>
              <w:br/>
              <w:t>2. Полный охват всех 13 видов UML и обеих ветвей IDEF1X/IDEF3 OSTN (Волна 3)</w:t>
              <w:br/>
              <w:t>3. Нативное мобильное приложение (только веб/PWA)</w:t>
            </w:r>
          </w:p>
        </w:tc>
      </w:tr>
    </w:tbl>
    <w:p/>
    <w:p>
      <w:r>
        <w:rPr>
          <w:rFonts w:ascii="Times New Roman" w:hAnsi="Times New Roman"/>
          <w:b w:val="0"/>
          <w:i/>
          <w:sz w:val="24"/>
        </w:rPr>
        <w:t>Правило: Must have — не более 60% от общего списка (6 из 15 пунктов выше = 40%).</w:t>
      </w:r>
    </w:p>
    <w:p>
      <w:pPr>
        <w:pStyle w:val="Heading2"/>
      </w:pPr>
      <w:r>
        <w:rPr>
          <w:rFonts w:ascii="Times New Roman" w:hAnsi="Times New Roman"/>
          <w:color w:val="000000"/>
        </w:rPr>
        <w:t>2.2 Исключения (что НЕ входит в проект)</w:t>
      </w:r>
    </w:p>
    <w:p>
      <w:pPr>
        <w:pStyle w:val="ListBullet"/>
      </w:pPr>
      <w:r>
        <w:t>НЕ входит: реализация BPMN и сетей Петри (Волна 4, за пределами курсового среза).</w:t>
      </w:r>
    </w:p>
    <w:p>
      <w:pPr>
        <w:pStyle w:val="ListBullet"/>
      </w:pPr>
      <w:r>
        <w:t>НЕ входит: подключение реальной облачной БД (Neon) и Redis для продакшена — для защиты достаточно локального Docker Compose.</w:t>
      </w:r>
    </w:p>
    <w:p>
      <w:pPr>
        <w:pStyle w:val="ListBullet"/>
      </w:pPr>
      <w:r>
        <w:t>НЕ входит: реальная интеграция с внешним AI-провайдером (OpenAI/Anthropic/Gemini) — используется заглушка StubAIProvider.</w:t>
      </w:r>
    </w:p>
    <w:p>
      <w:pPr>
        <w:pStyle w:val="ListBullet"/>
      </w:pPr>
      <w:r>
        <w:t>НЕ входит: администрирование пользователей — отдельная роль «администратор» системой не вводится.</w:t>
      </w:r>
    </w:p>
    <w:p>
      <w:pPr>
        <w:pStyle w:val="ListBullet"/>
      </w:pPr>
      <w:r>
        <w:t>НЕ входит: интеграция с внешними хранилищами (GitHub API, Google Drive) — реализован только LocalDownloadProvider.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РАЗДЕЛ 3. ОГРАНИЧЕНИЯ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Категория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Конкретные ограничения вашего проекта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Технические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Backend — Python 3.11+/FastAPI/PostgreSQL/Redis, DSL-парсер на Lark; frontend — React/Vite/Monaco; совместимость — актуальные версии Chrome/Firefox/Edge.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Правовые / Законодательные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Часть облачных сервисов (Heroku/Vercel/AWS) недоступна из Республики Беларусь — заменена на одобренный список (Render, Netlify, GitHub Actions) согласно методичке дисциплины.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Организационные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Один человек (Ксения) совмещает роли PO/разработчика/тестировщика; часть реализации выполняют фоновые ИИ-агенты по отдельным веткам, требующим ручного согласования перед merge.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Временные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Срок — дата защиты курсовой работы по расписанию сессии группы 60121; общий бюджет времени на курсовой срез — около 30 учебных часов.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Бюджетные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Проект учебный, некоммерческий; бюджет ограничен бесплатными тарифами (Render — 750 ч/мес, Netlify, GitHub Actions, StubAIProvider/бесплатные модели).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Пользовательские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Целевой пользователь умеет писать текст в редакторе кода; специального обучения синтаксису DSL не требуется благодаря шаблонам нотаций и автодополнению.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РАЗДЕЛ 4. ЗАДАЧИ РАЗРАБОТКИ (ДЕКОМПОЗИЦИЯ ЦЕЛИ)</w:t>
      </w:r>
    </w:p>
    <w:p>
      <w:r>
        <w:rPr>
          <w:rFonts w:ascii="Times New Roman" w:hAnsi="Times New Roman"/>
          <w:b w:val="0"/>
          <w:i w:val="0"/>
          <w:sz w:val="24"/>
        </w:rPr>
        <w:t>Логика: разбиваем SMART-цель на конкретные шаги — 4 этапа, 12 работ (WBS). Диаграмма и график Ганта с расчётом критического пути — в папке pz-wbs-gantt этого же репозитория.</w:t>
      </w:r>
    </w:p>
    <w:p>
      <w:r>
        <w:drawing>
          <wp:inline xmlns:a="http://schemas.openxmlformats.org/drawingml/2006/main" xmlns:pic="http://schemas.openxmlformats.org/drawingml/2006/picture">
            <wp:extent cx="6120000" cy="791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-диаграмма-Diagram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911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Работа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Длительность (дни)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Предшественники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1. Подготовка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Требования и архитектура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1. Подготовка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Проектирование DSL-грамматики и модели данных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1. Подготовка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Настройка окружения разработки и CI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2. Разработка backend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Реализация DSL-парсера (лексер, AST)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2. Разработка backend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Модель данных и репозитории (SQLAlchemy)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2, 3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2. Разработка backend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Нотация ERD: валидация и рендер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2. Разработка backend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Аутентификация (JWT, bcrypt)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3. API и frontend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REST API диаграмм и версий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6, 7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3. API и frontend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IDE-оболочка: React + Monaco редактор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3. API и frontend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Канвас рендера, интеграция Run/Save/Export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8, 9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4. Тестирование и защита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Тестирование (pytest + Jest, интеграция)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Этап 4. Тестирование и защита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Подготовка и защита курсовой (РПЗ, демо)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11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Критический путь (по расчёту в файле «Планировщик проекта - DiagramCode.xlsx»): работы 1 → 2 → 4 → 6 → 8 → 10 → 11 → 12, общая длительность проекта — 38 рабочих дней (сумма длительностей критического пути: 5+4+6+5+6+5+4+3=38). Работы 3, 5, 7, 9 имеют резерв (float) и не лежат на критическом пути.</w:t>
      </w:r>
    </w:p>
    <w:p>
      <w:r>
        <w:rPr>
          <w:rFonts w:ascii="Times New Roman" w:hAnsi="Times New Roman"/>
          <w:b w:val="0"/>
          <w:i w:val="0"/>
          <w:sz w:val="24"/>
        </w:rPr>
        <w:t>Методичка рекомендует общий объём декомпозиции 15–25 задач. 12 работ выше — это крупные этапы уровня WBS (на них же строится расчёт критического пути в pz-wbs-gantt/, поэтому их состав и длительности не меняются). Ниже — та же декомпозиция на уровень конкретных подзадач (24 штуки, по 2 на каждую крупную работу), чтобы соответствовать рекомендованному объёму методички.</w:t>
      </w:r>
    </w:p>
    <w:p>
      <w:r>
        <w:rPr>
          <w:rFonts w:ascii="Times New Roman" w:hAnsi="Times New Roman"/>
          <w:b/>
          <w:i w:val="0"/>
          <w:sz w:val="24"/>
        </w:rPr>
        <w:t>1. Требования и архитектура</w:t>
      </w:r>
    </w:p>
    <w:p>
      <w:pPr>
        <w:pStyle w:val="ListBullet"/>
      </w:pPr>
      <w:r>
        <w:t>Сбор и документирование функциональных/нефункциональных требований (FR/NFR)</w:t>
      </w:r>
    </w:p>
    <w:p>
      <w:pPr>
        <w:pStyle w:val="ListBullet"/>
      </w:pPr>
      <w:r>
        <w:t>Проектирование архитектуры (модульный монолит, слои api/services/repositories/domain)</w:t>
      </w:r>
    </w:p>
    <w:p>
      <w:r>
        <w:rPr>
          <w:rFonts w:ascii="Times New Roman" w:hAnsi="Times New Roman"/>
          <w:b/>
          <w:i w:val="0"/>
          <w:sz w:val="24"/>
        </w:rPr>
        <w:t>2. Проектирование DSL-грамматики и модели данных</w:t>
      </w:r>
    </w:p>
    <w:p>
      <w:pPr>
        <w:pStyle w:val="ListBullet"/>
      </w:pPr>
      <w:r>
        <w:t>Формализация грамматики DSL (Lark, файл grammar.lark)</w:t>
      </w:r>
    </w:p>
    <w:p>
      <w:pPr>
        <w:pStyle w:val="ListBullet"/>
      </w:pPr>
      <w:r>
        <w:t>Проектирование модели DiagramModel и схемы БД (users/diagrams/commits/blobs)</w:t>
      </w:r>
    </w:p>
    <w:p>
      <w:r>
        <w:rPr>
          <w:rFonts w:ascii="Times New Roman" w:hAnsi="Times New Roman"/>
          <w:b/>
          <w:i w:val="0"/>
          <w:sz w:val="24"/>
        </w:rPr>
        <w:t>3. Настройка окружения разработки и CI</w:t>
      </w:r>
    </w:p>
    <w:p>
      <w:pPr>
        <w:pStyle w:val="ListBullet"/>
      </w:pPr>
      <w:r>
        <w:t>Настройка Docker Compose (postgres/redis/api/worker)</w:t>
      </w:r>
    </w:p>
    <w:p>
      <w:pPr>
        <w:pStyle w:val="ListBullet"/>
      </w:pPr>
      <w:r>
        <w:t>Настройка GitHub Actions (прогон тестов на каждый push)</w:t>
      </w:r>
    </w:p>
    <w:p>
      <w:r>
        <w:rPr>
          <w:rFonts w:ascii="Times New Roman" w:hAnsi="Times New Roman"/>
          <w:b/>
          <w:i w:val="0"/>
          <w:sz w:val="24"/>
        </w:rPr>
        <w:t>4. Реализация DSL-парсера (лексер, AST)</w:t>
      </w:r>
    </w:p>
    <w:p>
      <w:pPr>
        <w:pStyle w:val="ListBullet"/>
      </w:pPr>
      <w:r>
        <w:t>Реализация лексера и грамматического разбора (Lark/Earley)</w:t>
      </w:r>
    </w:p>
    <w:p>
      <w:pPr>
        <w:pStyle w:val="ListBullet"/>
      </w:pPr>
      <w:r>
        <w:t>Построение промежуточного представления DiagramModel из AST</w:t>
      </w:r>
    </w:p>
    <w:p>
      <w:r>
        <w:rPr>
          <w:rFonts w:ascii="Times New Roman" w:hAnsi="Times New Roman"/>
          <w:b/>
          <w:i w:val="0"/>
          <w:sz w:val="24"/>
        </w:rPr>
        <w:t>5. Модель данных и репозитории (SQLAlchemy)</w:t>
      </w:r>
    </w:p>
    <w:p>
      <w:pPr>
        <w:pStyle w:val="ListBullet"/>
      </w:pPr>
      <w:r>
        <w:t>Реализация ORM-моделей (User, Diagram, Commit, Blob)</w:t>
      </w:r>
    </w:p>
    <w:p>
      <w:pPr>
        <w:pStyle w:val="ListBullet"/>
      </w:pPr>
      <w:r>
        <w:t>Реализация репозиториев (diagram_repository, дедупликация блобов по SHA-256)</w:t>
      </w:r>
    </w:p>
    <w:p>
      <w:r>
        <w:rPr>
          <w:rFonts w:ascii="Times New Roman" w:hAnsi="Times New Roman"/>
          <w:b/>
          <w:i w:val="0"/>
          <w:sz w:val="24"/>
        </w:rPr>
        <w:t>6. Нотация ERD: валидация и рендер</w:t>
      </w:r>
    </w:p>
    <w:p>
      <w:pPr>
        <w:pStyle w:val="ListBullet"/>
      </w:pPr>
      <w:r>
        <w:t>Реализация валидатора erd.crows_foot.logical (обязательные PK, недопустимые связи)</w:t>
      </w:r>
    </w:p>
    <w:p>
      <w:pPr>
        <w:pStyle w:val="ListBullet"/>
      </w:pPr>
      <w:r>
        <w:t>Реализация рендера ERD в SVG</w:t>
      </w:r>
    </w:p>
    <w:p>
      <w:r>
        <w:rPr>
          <w:rFonts w:ascii="Times New Roman" w:hAnsi="Times New Roman"/>
          <w:b/>
          <w:i w:val="0"/>
          <w:sz w:val="24"/>
        </w:rPr>
        <w:t>7. Аутентификация (JWT, bcrypt)</w:t>
      </w:r>
    </w:p>
    <w:p>
      <w:pPr>
        <w:pStyle w:val="ListBullet"/>
      </w:pPr>
      <w:r>
        <w:t>Регистрация и хеширование паролей (bcrypt)</w:t>
      </w:r>
    </w:p>
    <w:p>
      <w:pPr>
        <w:pStyle w:val="ListBullet"/>
      </w:pPr>
      <w:r>
        <w:t>Выдача и проверка JWT-токенов (FastAPI Depends)</w:t>
      </w:r>
    </w:p>
    <w:p>
      <w:r>
        <w:rPr>
          <w:rFonts w:ascii="Times New Roman" w:hAnsi="Times New Roman"/>
          <w:b/>
          <w:i w:val="0"/>
          <w:sz w:val="24"/>
        </w:rPr>
        <w:t>8. REST API диаграмм и версий</w:t>
      </w:r>
    </w:p>
    <w:p>
      <w:pPr>
        <w:pStyle w:val="ListBullet"/>
      </w:pPr>
      <w:r>
        <w:t>Эндпоинты CRUD диаграмм и рендера (POST /diagrams/render)</w:t>
      </w:r>
    </w:p>
    <w:p>
      <w:pPr>
        <w:pStyle w:val="ListBullet"/>
      </w:pPr>
      <w:r>
        <w:t>Эндпоинты версий (GET/POST /diagrams/{id}/versions)</w:t>
      </w:r>
    </w:p>
    <w:p>
      <w:r>
        <w:rPr>
          <w:rFonts w:ascii="Times New Roman" w:hAnsi="Times New Roman"/>
          <w:b/>
          <w:i w:val="0"/>
          <w:sz w:val="24"/>
        </w:rPr>
        <w:t>9. IDE-оболочка: React + Monaco редактор</w:t>
      </w:r>
    </w:p>
    <w:p>
      <w:pPr>
        <w:pStyle w:val="ListBullet"/>
      </w:pPr>
      <w:r>
        <w:t>Роутинг и каркас IDE-оболочки (titlebar, activity bar, сайдбар)</w:t>
      </w:r>
    </w:p>
    <w:p>
      <w:pPr>
        <w:pStyle w:val="ListBullet"/>
      </w:pPr>
      <w:r>
        <w:t>Интеграция Monaco с подсветкой синтаксиса DSL</w:t>
      </w:r>
    </w:p>
    <w:p>
      <w:r>
        <w:rPr>
          <w:rFonts w:ascii="Times New Roman" w:hAnsi="Times New Roman"/>
          <w:b/>
          <w:i w:val="0"/>
          <w:sz w:val="24"/>
        </w:rPr>
        <w:t>10. Канвас рендера, интеграция Run/Save/Export</w:t>
      </w:r>
    </w:p>
    <w:p>
      <w:pPr>
        <w:pStyle w:val="ListBullet"/>
      </w:pPr>
      <w:r>
        <w:t>Канвас отображения SVG-рендера с зумом</w:t>
      </w:r>
    </w:p>
    <w:p>
      <w:pPr>
        <w:pStyle w:val="ListBullet"/>
      </w:pPr>
      <w:r>
        <w:t>Кнопки Run/Save/Export и обработка состояний загрузки/ошибок</w:t>
      </w:r>
    </w:p>
    <w:p>
      <w:r>
        <w:rPr>
          <w:rFonts w:ascii="Times New Roman" w:hAnsi="Times New Roman"/>
          <w:b/>
          <w:i w:val="0"/>
          <w:sz w:val="24"/>
        </w:rPr>
        <w:t>11. Тестирование (pytest + Jest, интеграция)</w:t>
      </w:r>
    </w:p>
    <w:p>
      <w:pPr>
        <w:pStyle w:val="ListBullet"/>
      </w:pPr>
      <w:r>
        <w:t>Backend-тесты (pytest) для DSL-парсера, нотации ERD, API</w:t>
      </w:r>
    </w:p>
    <w:p>
      <w:pPr>
        <w:pStyle w:val="ListBullet"/>
      </w:pPr>
      <w:r>
        <w:t>Frontend-тесты (Jest) для компонентов IDE</w:t>
      </w:r>
    </w:p>
    <w:p>
      <w:r>
        <w:rPr>
          <w:rFonts w:ascii="Times New Roman" w:hAnsi="Times New Roman"/>
          <w:b/>
          <w:i w:val="0"/>
          <w:sz w:val="24"/>
        </w:rPr>
        <w:t>12. Подготовка и защита курсовой (РПЗ, демо)</w:t>
      </w:r>
    </w:p>
    <w:p>
      <w:pPr>
        <w:pStyle w:val="ListBullet"/>
      </w:pPr>
      <w:r>
        <w:t>Написание РПЗ (25–30 страниц) по структуре методички</w:t>
      </w:r>
    </w:p>
    <w:p>
      <w:pPr>
        <w:pStyle w:val="ListBullet"/>
      </w:pPr>
      <w:r>
        <w:t>Подготовка демонстрации и презентации к защите</w:t>
      </w:r>
    </w:p>
    <w:p/>
    <w:p>
      <w:r>
        <w:rPr>
          <w:rFonts w:ascii="Times New Roman" w:hAnsi="Times New Roman"/>
          <w:b w:val="0"/>
          <w:i/>
          <w:sz w:val="24"/>
        </w:rPr>
        <w:t>Итого: 4 этапа, 12 крупных работ, 24 подзадачи — в диапазоне 15–25, рекомендованном методичкой.</w:t>
      </w:r>
    </w:p>
    <w:p>
      <w:pPr>
        <w:pStyle w:val="Heading1"/>
      </w:pPr>
      <w:r>
        <w:rPr>
          <w:rFonts w:ascii="Times New Roman" w:hAnsi="Times New Roman"/>
          <w:color w:val="000000"/>
        </w:rPr>
        <w:t>РАЗДЕЛ 5. АНАЛИЗ СТЕЙКХОЛДЕРОВ</w:t>
      </w:r>
    </w:p>
    <w:p>
      <w:r>
        <w:rPr>
          <w:rFonts w:ascii="Times New Roman" w:hAnsi="Times New Roman"/>
          <w:b w:val="0"/>
          <w:i w:val="0"/>
          <w:sz w:val="24"/>
        </w:rPr>
        <w:t>Задание: определите всех, кто влияет на проект или зависит от него. Оцените влияние и интерес по шкале от 1 до 5. Распределите по квадрантам и выберите стратегию работы.</w:t>
      </w:r>
    </w:p>
    <w:p>
      <w:pPr>
        <w:pStyle w:val="Heading2"/>
      </w:pPr>
      <w:r>
        <w:rPr>
          <w:rFonts w:ascii="Times New Roman" w:hAnsi="Times New Roman"/>
          <w:color w:val="000000"/>
        </w:rPr>
        <w:t>5.1. Идентификация стейкхолдеров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Стейкхолдер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Почему важен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Ксения Хаджинова (владелец продукта / разработчик)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внутренний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Инициатор проекта, принимает архитектурные решения, отвечает за защиту курсовой работы.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И.В. Кашникова (руководитель курсовой работы)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внешний по отношению к проекту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Оценивает соответствие требованиям методички, принимает или отклоняет тему и заявленный объём курсового среза.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Конечный пользователь DiagramCode (разработчик/аналитик)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внешний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Определяет, насколько продукт реально решает задачу моделирования диаграмм; обратная связь влияет на приоритеты Волны 2+.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AI-провайдер (внешний сервис LLM/VLM)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внешний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Определяет качество и стоимость AI-режимов; смена провайдера — заранее предусмотренная точка гибкости (интерфейс AIProvider).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Хостинг-провайдеры (Render, Netlify, GitHub Actions)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внешний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Определяют доступность и бесплатные лимиты инфраструктуры; недоступность части сервисов из РБ — уже учтённое ограничение при выборе стека.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Фоновые ИИ-агенты, выполняющие часть реализации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внутренний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Выполняют значительную часть кода и документации по отдельным веткам; качество их работы и согласование перед merge напрямую влияют на сроки и корректность.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5.2. Матрица стейкхолдеров</w:t>
      </w:r>
    </w:p>
    <w:p>
      <w:r>
        <w:rPr>
          <w:rFonts w:ascii="Times New Roman" w:hAnsi="Times New Roman"/>
          <w:b w:val="0"/>
          <w:i w:val="0"/>
          <w:sz w:val="24"/>
        </w:rPr>
        <w:t>Влияние — способность стейкхолдера влиять на проект (от 1 до 5). Заинтересованность (интерес) — насколько стейкхолдеру важен результат проекта (от 1 до 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Влияние \ Заинтересованность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Низкая (интерес 1-2)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Высокая (интерес 3-5)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Высокое (влияние 4-5)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D: Минимальное информирование — И.В. Кашникова (информировать по ключевым вехам, не беспокоить деталями до защиты)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A: Активное вовлечение — Ксения Хаджинова, фоновые ИИ-агенты (регулярные отчёты, согласование решений, личные встречи/ревью)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Низкое (влияние 1-3)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C: Минимальный контроль — AI-провайдер, хостинг-провайдеры (мониторить, общие дайджесты статуса)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B: Консультирование — конечный пользователь DiagramCode (учитывать мнение, привлекать к обсуждению приоритетов Волны 2+)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5.3. Распределение стейкхолдеров по квадрантам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Квадрант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Стратегия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Стейкхолдеры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 (Высокое влияние / Высокий интерес)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Активное вовлечение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Ксения Хаджинова, фоновые ИИ-агенты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B (Низкое влияние / Высокий интерес)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Консультирование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Конечный пользователь DiagramCode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 (Низкое влияние / Низкий интерес)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Минимальный контроль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AI-провайдер, хостинг-провайдеры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 (Высокое влияние / Низкий интерес)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Минимальное информирование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И.В. Кашникова (руководитель)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РАЗДЕЛ 6. ВЫВОДЫ</w:t>
      </w:r>
    </w:p>
    <w:p>
      <w:r>
        <w:rPr>
          <w:rFonts w:ascii="Times New Roman" w:hAnsi="Times New Roman"/>
          <w:b w:val="0"/>
          <w:i w:val="0"/>
          <w:sz w:val="24"/>
        </w:rPr>
        <w:t>Проект обоснован, так как решает следующие проблемы: отсутствие на рынке единого инструмента, сочетающего собственный DSL, git-подобное версионирование и охват как инженерных, так и методологических нотаций диаграмм. Обязательный функционал (Must have) определён и укладывается в 40% от общего списка требований, границы проекта установлены явно (раздел 2.2). Ключевой стейкхолдер на этапе курсового среза — руководитель курсовой работы, с которым выстроено информирование по ключевым вехам; активное вовлечение при этом сосредоточено на самом авторе проекта и фоновых ИИ-агентах, выполняющих часть реализации. Проект реализуем в рамках установленных ограничений: архитектура спроектирована заранее, критический путь декомпозиции задач (раздел 4) укладывается в разумный срок, а объём MoSCoW Must have соответствует ~30-часовому бюджету курсового среза.</w:t>
      </w:r>
    </w:p>
    <w:p>
      <w:r>
        <w:rPr>
          <w:rFonts w:ascii="Times New Roman" w:hAnsi="Times New Roman"/>
          <w:b w:val="0"/>
          <w:i w:val="0"/>
          <w:sz w:val="24"/>
        </w:rPr>
        <w:t>Дата заполнения: 17.09.2026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