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78B" w14:textId="77777777" w:rsidR="000F1C40" w:rsidRDefault="003E354E">
      <w:pPr>
        <w:ind w:firstLine="0"/>
        <w:jc w:val="center"/>
      </w:pPr>
      <w:r>
        <w:rPr>
          <w:rFonts w:cs="Times New Roman"/>
        </w:rPr>
        <w:t>Министерство образования Республики Беларусь</w:t>
      </w:r>
    </w:p>
    <w:p w14:paraId="0EA01285" w14:textId="77777777" w:rsidR="000F1C40" w:rsidRDefault="003E354E">
      <w:pPr>
        <w:ind w:firstLine="0"/>
        <w:jc w:val="center"/>
      </w:pPr>
      <w:r>
        <w:rPr>
          <w:rFonts w:cs="Times New Roman"/>
        </w:rPr>
        <w:t>Учреждение образования</w:t>
      </w:r>
    </w:p>
    <w:p w14:paraId="2DF335AF" w14:textId="77777777" w:rsidR="000F1C40" w:rsidRDefault="003E354E">
      <w:pPr>
        <w:ind w:firstLine="0"/>
        <w:jc w:val="center"/>
      </w:pPr>
      <w:r>
        <w:rPr>
          <w:rFonts w:cs="Times New Roman"/>
        </w:rPr>
        <w:t>БЕЛОРУССКИЙ ГОСУДАРСТВЕННЫЙ УНИВЕРСИТЕТ</w:t>
      </w:r>
    </w:p>
    <w:p w14:paraId="665F4B58" w14:textId="77777777" w:rsidR="000F1C40" w:rsidRDefault="003E354E">
      <w:pPr>
        <w:ind w:firstLine="0"/>
        <w:jc w:val="center"/>
      </w:pPr>
      <w:r>
        <w:rPr>
          <w:rFonts w:cs="Times New Roman"/>
        </w:rPr>
        <w:t>ИНФОРМАТИКИ И РАДИОЭЛЕКТРОНИКИ</w:t>
      </w:r>
    </w:p>
    <w:p w14:paraId="70DA67D3" w14:textId="77777777" w:rsidR="000F1C40" w:rsidRDefault="003E354E">
      <w:pPr>
        <w:ind w:firstLine="0"/>
        <w:jc w:val="center"/>
      </w:pPr>
      <w:r>
        <w:rPr>
          <w:rFonts w:cs="Times New Roman"/>
        </w:rPr>
        <w:t>Обособленное подразделение «Институт информационных технологий БГУИР»</w:t>
      </w:r>
    </w:p>
    <w:p w14:paraId="05CE0956" w14:textId="77777777" w:rsidR="000F1C40" w:rsidRDefault="000F1C40"/>
    <w:p w14:paraId="4C48C923" w14:textId="77777777" w:rsidR="000F1C40" w:rsidRDefault="003E354E">
      <w:pPr>
        <w:ind w:firstLine="0"/>
        <w:jc w:val="center"/>
      </w:pPr>
      <w:r>
        <w:rPr>
          <w:rFonts w:cs="Times New Roman"/>
        </w:rPr>
        <w:t>Факультет повышения квалификации и переподготовки</w:t>
      </w:r>
    </w:p>
    <w:p w14:paraId="1F591397" w14:textId="77777777" w:rsidR="000F1C40" w:rsidRDefault="003E354E">
      <w:pPr>
        <w:ind w:firstLine="0"/>
        <w:jc w:val="center"/>
      </w:pPr>
      <w:r>
        <w:rPr>
          <w:rFonts w:cs="Times New Roman"/>
        </w:rPr>
        <w:t>Кафедра микропроцессорных систем и сетей</w:t>
      </w:r>
    </w:p>
    <w:p w14:paraId="37515375" w14:textId="77777777" w:rsidR="000F1C40" w:rsidRDefault="000F1C40"/>
    <w:p w14:paraId="45FB93E8" w14:textId="77777777" w:rsidR="000F1C40" w:rsidRDefault="000F1C40"/>
    <w:p w14:paraId="5F661467" w14:textId="77777777" w:rsidR="000F1C40" w:rsidRDefault="000F1C40"/>
    <w:p w14:paraId="6A29AD8D" w14:textId="77777777" w:rsidR="000F1C40" w:rsidRDefault="000F1C40"/>
    <w:p w14:paraId="5BF3D6E8" w14:textId="77777777" w:rsidR="000F1C40" w:rsidRDefault="000F1C40"/>
    <w:p w14:paraId="34887692" w14:textId="77777777" w:rsidR="000F1C40" w:rsidRDefault="000F1C40"/>
    <w:p w14:paraId="72399547" w14:textId="77777777" w:rsidR="000F1C40" w:rsidRDefault="000F1C40"/>
    <w:p w14:paraId="2620C79F" w14:textId="77777777" w:rsidR="000F1C40" w:rsidRDefault="003E354E">
      <w:pPr>
        <w:ind w:firstLine="0"/>
        <w:jc w:val="center"/>
      </w:pPr>
      <w:r>
        <w:rPr>
          <w:rFonts w:cs="Times New Roman"/>
          <w:b/>
        </w:rPr>
        <w:t>ОТЧЕТ</w:t>
      </w:r>
    </w:p>
    <w:p w14:paraId="5296D7EE" w14:textId="77777777" w:rsidR="000F1C40" w:rsidRDefault="003E354E">
      <w:pPr>
        <w:ind w:firstLine="0"/>
        <w:jc w:val="center"/>
      </w:pPr>
      <w:r>
        <w:rPr>
          <w:rFonts w:cs="Times New Roman"/>
        </w:rPr>
        <w:t>по практическому занятию № 3</w:t>
      </w:r>
    </w:p>
    <w:p w14:paraId="7FE6B600" w14:textId="77777777" w:rsidR="000F1C40" w:rsidRDefault="003E354E">
      <w:pPr>
        <w:ind w:firstLine="0"/>
        <w:jc w:val="center"/>
      </w:pPr>
      <w:r>
        <w:rPr>
          <w:rFonts w:cs="Times New Roman"/>
        </w:rPr>
        <w:t>по дисциплине «Управление проектами»</w:t>
      </w:r>
    </w:p>
    <w:p w14:paraId="50E11775" w14:textId="77777777" w:rsidR="000F1C40" w:rsidRDefault="003E354E">
      <w:pPr>
        <w:ind w:firstLine="0"/>
        <w:jc w:val="center"/>
      </w:pPr>
      <w:r>
        <w:rPr>
          <w:rFonts w:cs="Times New Roman"/>
        </w:rPr>
        <w:t>на тему «Управление рисками проекта»</w:t>
      </w:r>
    </w:p>
    <w:p w14:paraId="664DCE46" w14:textId="77777777" w:rsidR="000F1C40" w:rsidRDefault="000F1C40"/>
    <w:p w14:paraId="51EF4D6A" w14:textId="77777777" w:rsidR="000F1C40" w:rsidRDefault="000F1C40"/>
    <w:p w14:paraId="6479AA41" w14:textId="77777777" w:rsidR="000F1C40" w:rsidRDefault="000F1C40"/>
    <w:p w14:paraId="2A857C25" w14:textId="77777777" w:rsidR="000F1C40" w:rsidRDefault="000F1C40"/>
    <w:p w14:paraId="5DF86CEF" w14:textId="77777777" w:rsidR="000F1C40" w:rsidRDefault="000F1C40"/>
    <w:p w14:paraId="1E77F055" w14:textId="77777777" w:rsidR="000F1C40" w:rsidRDefault="000F1C40"/>
    <w:p w14:paraId="7A4BA8BE" w14:textId="77777777" w:rsidR="000F1C40" w:rsidRDefault="000F1C40"/>
    <w:p w14:paraId="4395863F" w14:textId="77777777" w:rsidR="000F1C40" w:rsidRDefault="000F1C40"/>
    <w:p w14:paraId="5A4BF73A" w14:textId="77777777" w:rsidR="000F1C40" w:rsidRDefault="003E354E">
      <w:pPr>
        <w:tabs>
          <w:tab w:val="right" w:pos="9354"/>
        </w:tabs>
        <w:ind w:firstLine="0"/>
        <w:jc w:val="left"/>
      </w:pPr>
      <w:r>
        <w:rPr>
          <w:rFonts w:cs="Times New Roman"/>
        </w:rPr>
        <w:t>Выполнила: слушатель гр. 60121</w:t>
      </w:r>
      <w:r>
        <w:rPr>
          <w:rFonts w:cs="Times New Roman"/>
        </w:rPr>
        <w:tab/>
        <w:t>К. А. Хаджинова</w:t>
      </w:r>
    </w:p>
    <w:p w14:paraId="2F584BD4" w14:textId="77777777" w:rsidR="000F1C40" w:rsidRDefault="000F1C40"/>
    <w:p w14:paraId="6961E319" w14:textId="77777777" w:rsidR="000F1C40" w:rsidRDefault="003E354E">
      <w:pPr>
        <w:tabs>
          <w:tab w:val="right" w:pos="9354"/>
        </w:tabs>
        <w:ind w:firstLine="0"/>
        <w:jc w:val="left"/>
      </w:pPr>
      <w:r>
        <w:rPr>
          <w:rFonts w:cs="Times New Roman"/>
        </w:rPr>
        <w:t>Проверила:</w:t>
      </w:r>
      <w:r>
        <w:rPr>
          <w:rFonts w:cs="Times New Roman"/>
        </w:rPr>
        <w:tab/>
        <w:t>И. В. Кашникова</w:t>
      </w:r>
    </w:p>
    <w:p w14:paraId="6B52232D" w14:textId="77777777" w:rsidR="000F1C40" w:rsidRDefault="000F1C40"/>
    <w:p w14:paraId="491C612B" w14:textId="77777777" w:rsidR="000F1C40" w:rsidRDefault="000F1C40"/>
    <w:p w14:paraId="60C89725" w14:textId="77777777" w:rsidR="000F1C40" w:rsidRDefault="000F1C40"/>
    <w:p w14:paraId="0A5B4F32" w14:textId="77777777" w:rsidR="000F1C40" w:rsidRDefault="000F1C40"/>
    <w:p w14:paraId="6BF9E217" w14:textId="77777777" w:rsidR="000F1C40" w:rsidRDefault="000F1C40"/>
    <w:p w14:paraId="6C637DA5" w14:textId="77777777" w:rsidR="000F1C40" w:rsidRDefault="000F1C40"/>
    <w:p w14:paraId="3FD8155B" w14:textId="77777777" w:rsidR="000F1C40" w:rsidRDefault="000F1C40"/>
    <w:p w14:paraId="5FB82BFC" w14:textId="77777777" w:rsidR="000F1C40" w:rsidRDefault="003E354E">
      <w:pPr>
        <w:ind w:firstLine="0"/>
        <w:jc w:val="center"/>
      </w:pPr>
      <w:r>
        <w:rPr>
          <w:rFonts w:cs="Times New Roman"/>
        </w:rPr>
        <w:t>Минск 2026</w:t>
      </w:r>
      <w:r>
        <w:br w:type="page"/>
      </w:r>
    </w:p>
    <w:p w14:paraId="377C39EA" w14:textId="77777777" w:rsidR="000F1C40" w:rsidRDefault="003E354E">
      <w:pPr>
        <w:ind w:firstLine="0"/>
        <w:jc w:val="center"/>
      </w:pPr>
      <w:r>
        <w:rPr>
          <w:rFonts w:cs="Times New Roman"/>
          <w:b/>
        </w:rPr>
        <w:lastRenderedPageBreak/>
        <w:t>СОДЕРЖАНИЕ</w:t>
      </w:r>
    </w:p>
    <w:p w14:paraId="33C697E8" w14:textId="77777777" w:rsidR="000F1C40" w:rsidRDefault="000F1C40"/>
    <w:p w14:paraId="69071324" w14:textId="4B17B015" w:rsidR="00935DA8" w:rsidRDefault="003E354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>TOC \o "1-2" \h \z \u</w:instrText>
      </w:r>
      <w:r>
        <w:rPr>
          <w:rFonts w:cs="Times New Roman"/>
        </w:rPr>
        <w:fldChar w:fldCharType="separate"/>
      </w:r>
      <w:hyperlink w:anchor="_Toc241307059" w:history="1">
        <w:r w:rsidR="00935DA8" w:rsidRPr="003430E1">
          <w:rPr>
            <w:rStyle w:val="aff8"/>
            <w:rFonts w:cs="Times New Roman"/>
            <w:noProof/>
          </w:rPr>
          <w:t>1 ЦЕЛЬ РАБОТЫ</w:t>
        </w:r>
        <w:r w:rsidR="00935DA8">
          <w:rPr>
            <w:noProof/>
            <w:webHidden/>
          </w:rPr>
          <w:tab/>
        </w:r>
        <w:r w:rsidR="00935DA8">
          <w:rPr>
            <w:noProof/>
            <w:webHidden/>
          </w:rPr>
          <w:fldChar w:fldCharType="begin"/>
        </w:r>
        <w:r w:rsidR="00935DA8">
          <w:rPr>
            <w:noProof/>
            <w:webHidden/>
          </w:rPr>
          <w:instrText xml:space="preserve"> PAGEREF _Toc241307059 \h </w:instrText>
        </w:r>
        <w:r w:rsidR="00935DA8">
          <w:rPr>
            <w:noProof/>
            <w:webHidden/>
          </w:rPr>
        </w:r>
        <w:r w:rsidR="00935DA8">
          <w:rPr>
            <w:noProof/>
            <w:webHidden/>
          </w:rPr>
          <w:fldChar w:fldCharType="separate"/>
        </w:r>
        <w:r w:rsidR="00935DA8">
          <w:rPr>
            <w:noProof/>
            <w:webHidden/>
          </w:rPr>
          <w:t>3</w:t>
        </w:r>
        <w:r w:rsidR="00935DA8">
          <w:rPr>
            <w:noProof/>
            <w:webHidden/>
          </w:rPr>
          <w:fldChar w:fldCharType="end"/>
        </w:r>
      </w:hyperlink>
    </w:p>
    <w:p w14:paraId="4F762A56" w14:textId="1296A8A1" w:rsidR="00935DA8" w:rsidRDefault="00935DA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0" w:history="1">
        <w:r w:rsidRPr="003430E1">
          <w:rPr>
            <w:rStyle w:val="aff8"/>
            <w:rFonts w:cs="Times New Roman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43126B" w14:textId="1A5E7716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1" w:history="1">
        <w:r w:rsidRPr="003430E1">
          <w:rPr>
            <w:rStyle w:val="aff8"/>
            <w:rFonts w:cs="Times New Roman"/>
            <w:noProof/>
          </w:rPr>
          <w:t>2.1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2638EF" w14:textId="0A5EC450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2" w:history="1">
        <w:r w:rsidRPr="003430E1">
          <w:rPr>
            <w:rStyle w:val="aff8"/>
            <w:rFonts w:cs="Times New Roman"/>
            <w:noProof/>
          </w:rPr>
          <w:t>2.2 Объект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30D28" w14:textId="755AE808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3" w:history="1">
        <w:r w:rsidRPr="003430E1">
          <w:rPr>
            <w:rStyle w:val="aff8"/>
            <w:rFonts w:cs="Times New Roman"/>
            <w:noProof/>
          </w:rPr>
          <w:t>2.3 Идентификация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FC8A54" w14:textId="65AFE4B1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4" w:history="1">
        <w:r w:rsidRPr="003430E1">
          <w:rPr>
            <w:rStyle w:val="aff8"/>
            <w:rFonts w:cs="Times New Roman"/>
            <w:noProof/>
          </w:rPr>
          <w:t>2.4 Качественная оценка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538757" w14:textId="21166358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5" w:history="1">
        <w:r w:rsidRPr="003430E1">
          <w:rPr>
            <w:rStyle w:val="aff8"/>
            <w:rFonts w:cs="Times New Roman"/>
            <w:noProof/>
          </w:rPr>
          <w:t>2.5 Карта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7BF1BF" w14:textId="2D041501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6" w:history="1">
        <w:r w:rsidRPr="003430E1">
          <w:rPr>
            <w:rStyle w:val="aff8"/>
            <w:rFonts w:cs="Times New Roman"/>
            <w:noProof/>
          </w:rPr>
          <w:t>2.6 Планирование реагирования на риски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F5D766" w14:textId="639FD844" w:rsidR="00935DA8" w:rsidRDefault="00935DA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7" w:history="1">
        <w:r w:rsidRPr="003430E1">
          <w:rPr>
            <w:rStyle w:val="aff8"/>
            <w:rFonts w:cs="Times New Roman"/>
            <w:noProof/>
          </w:rPr>
          <w:t>2.7 Количественная оценка и мониторинг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552192" w14:textId="463623A5" w:rsidR="00935DA8" w:rsidRDefault="00935DA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8" w:history="1">
        <w:r w:rsidRPr="003430E1">
          <w:rPr>
            <w:rStyle w:val="aff8"/>
            <w:rFonts w:cs="Times New Roman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F5C841" w14:textId="3F57FF36" w:rsidR="00935DA8" w:rsidRDefault="00935DA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69" w:history="1">
        <w:r w:rsidRPr="003430E1">
          <w:rPr>
            <w:rStyle w:val="aff8"/>
            <w:rFonts w:cs="Times New Roman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10181E" w14:textId="7FF733E6" w:rsidR="00935DA8" w:rsidRDefault="00935DA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7070" w:history="1">
        <w:r w:rsidRPr="003430E1">
          <w:rPr>
            <w:rStyle w:val="aff8"/>
            <w:rFonts w:cs="Times New Roman"/>
            <w:noProof/>
          </w:rPr>
          <w:t>ПРИЛОЖЕНИЕ А</w:t>
        </w:r>
        <w:r w:rsidRPr="003430E1">
          <w:rPr>
            <w:rStyle w:val="aff8"/>
            <w:noProof/>
          </w:rPr>
          <w:t xml:space="preserve"> </w:t>
        </w:r>
        <w:r w:rsidRPr="003430E1">
          <w:rPr>
            <w:rStyle w:val="aff8"/>
            <w:rFonts w:cs="Times New Roman"/>
            <w:noProof/>
          </w:rPr>
          <w:t>(обязательное)</w:t>
        </w:r>
        <w:r w:rsidRPr="003430E1">
          <w:rPr>
            <w:rStyle w:val="aff8"/>
            <w:noProof/>
          </w:rPr>
          <w:t xml:space="preserve"> </w:t>
        </w:r>
        <w:r w:rsidRPr="003430E1">
          <w:rPr>
            <w:rStyle w:val="aff8"/>
            <w:rFonts w:cs="Times New Roman"/>
            <w:noProof/>
          </w:rPr>
          <w:t>Листинг макроса VBA заполнения реестра и карты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BE6736" w14:textId="6779FAB5" w:rsidR="000F1C40" w:rsidRDefault="003E354E">
      <w:pPr>
        <w:ind w:firstLine="0"/>
        <w:jc w:val="left"/>
      </w:pPr>
      <w:r>
        <w:rPr>
          <w:rFonts w:cs="Times New Roman"/>
        </w:rPr>
        <w:fldChar w:fldCharType="end"/>
      </w:r>
    </w:p>
    <w:p w14:paraId="778A6AD7" w14:textId="77777777" w:rsidR="000F1C40" w:rsidRDefault="003E354E">
      <w:pPr>
        <w:pStyle w:val="1"/>
        <w:pageBreakBefore/>
      </w:pPr>
      <w:bookmarkStart w:id="0" w:name="_Toc241307059"/>
      <w:r>
        <w:rPr>
          <w:rFonts w:ascii="Times New Roman" w:eastAsia="Times New Roman" w:hAnsi="Times New Roman" w:cs="Times New Roman"/>
        </w:rPr>
        <w:lastRenderedPageBreak/>
        <w:t>1 ЦЕЛЬ РАБОТЫ</w:t>
      </w:r>
      <w:bookmarkEnd w:id="0"/>
    </w:p>
    <w:p w14:paraId="1431AD59" w14:textId="77777777" w:rsidR="000F1C40" w:rsidRDefault="000F1C40">
      <w:pPr>
        <w:keepNext/>
      </w:pPr>
    </w:p>
    <w:p w14:paraId="50D3F0E5" w14:textId="77777777" w:rsidR="000F1C40" w:rsidRDefault="003E354E">
      <w:r>
        <w:rPr>
          <w:rFonts w:cs="Times New Roman"/>
        </w:rPr>
        <w:t>Освоение процессов управления рисками проекта: идентификация рисков, качественная оценка по вероятности и силе воздействия, построение реестра и карты рисков, выбор стратегий реагирования и элементы количественного анализа на примере проекта NotaCode.</w:t>
      </w:r>
    </w:p>
    <w:p w14:paraId="6DCD588E" w14:textId="77777777" w:rsidR="000F1C40" w:rsidRDefault="003E354E">
      <w:pPr>
        <w:pStyle w:val="1"/>
        <w:pageBreakBefore/>
      </w:pPr>
      <w:bookmarkStart w:id="1" w:name="_Toc241307060"/>
      <w:r>
        <w:rPr>
          <w:rFonts w:ascii="Times New Roman" w:eastAsia="Times New Roman" w:hAnsi="Times New Roman" w:cs="Times New Roman"/>
        </w:rPr>
        <w:lastRenderedPageBreak/>
        <w:t>2 ХОД РАБОТЫ</w:t>
      </w:r>
      <w:bookmarkEnd w:id="1"/>
    </w:p>
    <w:p w14:paraId="79CB37D8" w14:textId="77777777" w:rsidR="000F1C40" w:rsidRDefault="000F1C40">
      <w:pPr>
        <w:keepNext/>
      </w:pPr>
    </w:p>
    <w:p w14:paraId="042A47D8" w14:textId="77777777" w:rsidR="000F1C40" w:rsidRDefault="003E354E">
      <w:pPr>
        <w:pStyle w:val="21"/>
      </w:pPr>
      <w:bookmarkStart w:id="2" w:name="_Toc241307061"/>
      <w:r>
        <w:rPr>
          <w:rFonts w:ascii="Times New Roman" w:eastAsia="Times New Roman" w:hAnsi="Times New Roman" w:cs="Times New Roman"/>
        </w:rPr>
        <w:t>2.1 Теоретические сведения</w:t>
      </w:r>
      <w:bookmarkEnd w:id="2"/>
    </w:p>
    <w:p w14:paraId="6512CC02" w14:textId="77777777" w:rsidR="000F1C40" w:rsidRDefault="000F1C40">
      <w:pPr>
        <w:keepNext/>
      </w:pPr>
    </w:p>
    <w:p w14:paraId="1D295ED1" w14:textId="77777777" w:rsidR="000F1C40" w:rsidRDefault="003E354E">
      <w:r>
        <w:rPr>
          <w:rFonts w:cs="Times New Roman"/>
        </w:rPr>
        <w:t>Риск – неопределённое событие или условие, которое при наступлении влияет на цели проекта; проблема – реализовавшийся риск [1]. Управление рисками включает процессы: планирование управления рисками, идентификацию, качественную и количественную оценку, планирование реагирования, мониторинг и контроль [2].</w:t>
      </w:r>
    </w:p>
    <w:p w14:paraId="57273597" w14:textId="77777777" w:rsidR="000F1C40" w:rsidRDefault="003E354E">
      <w:r>
        <w:rPr>
          <w:rFonts w:cs="Times New Roman"/>
        </w:rPr>
        <w:t>Итоговый коэффициент риска H определяем по формуле</w:t>
      </w:r>
    </w:p>
    <w:p w14:paraId="163FCE81" w14:textId="77777777" w:rsidR="000F1C40" w:rsidRDefault="003E354E">
      <w:pPr>
        <w:tabs>
          <w:tab w:val="center" w:pos="4677"/>
          <w:tab w:val="right" w:pos="9354"/>
        </w:tabs>
        <w:ind w:firstLine="0"/>
        <w:jc w:val="left"/>
      </w:pPr>
      <w:r>
        <w:rPr>
          <w:rFonts w:cs="Times New Roman"/>
        </w:rPr>
        <w:tab/>
        <w:t>H = P × I,</w:t>
      </w:r>
      <w:r>
        <w:rPr>
          <w:rFonts w:cs="Times New Roman"/>
        </w:rPr>
        <w:tab/>
        <w:t>(2.1)</w:t>
      </w:r>
    </w:p>
    <w:p w14:paraId="28E1ECE0" w14:textId="77777777" w:rsidR="000F1C40" w:rsidRDefault="003E354E">
      <w:r>
        <w:rPr>
          <w:rFonts w:cs="Times New Roman"/>
        </w:rPr>
        <w:t>где P – оценка вероятности возникновения риска (от 0 до 1); I – оценка силы воздействия (от 0 до 1). Шаблон задаёт пороги приоритета: высокий – H ≥ 0,505, средний – 0,14 ≤ H &lt; 0,505, низкий – H &lt; 0,14.</w:t>
      </w:r>
    </w:p>
    <w:p w14:paraId="7E49282F" w14:textId="77777777" w:rsidR="000F1C40" w:rsidRDefault="003E354E">
      <w:r>
        <w:rPr>
          <w:rFonts w:cs="Times New Roman"/>
        </w:rPr>
        <w:t>Стратегии реагирования на негативные риски:</w:t>
      </w:r>
    </w:p>
    <w:p w14:paraId="579798F8" w14:textId="77777777" w:rsidR="000F1C40" w:rsidRDefault="003E354E">
      <w:r>
        <w:rPr>
          <w:rFonts w:cs="Times New Roman"/>
        </w:rPr>
        <w:t>– уклонение – изменение плана, исключающее угрозу;</w:t>
      </w:r>
    </w:p>
    <w:p w14:paraId="6DD452B5" w14:textId="77777777" w:rsidR="000F1C40" w:rsidRDefault="003E354E">
      <w:r>
        <w:rPr>
          <w:rFonts w:cs="Times New Roman"/>
        </w:rPr>
        <w:t>– снижение – уменьшение вероятности и (или) последствий до приемлемого уровня;</w:t>
      </w:r>
    </w:p>
    <w:p w14:paraId="0575EA2F" w14:textId="77777777" w:rsidR="000F1C40" w:rsidRDefault="003E354E">
      <w:r>
        <w:rPr>
          <w:rFonts w:cs="Times New Roman"/>
        </w:rPr>
        <w:t>– передача – переложение последствий на третью сторону;</w:t>
      </w:r>
    </w:p>
    <w:p w14:paraId="17A5CD71" w14:textId="77777777" w:rsidR="000F1C40" w:rsidRDefault="003E354E">
      <w:r>
        <w:rPr>
          <w:rFonts w:cs="Times New Roman"/>
        </w:rPr>
        <w:t>– принятие – осознанный отказ от изменения плана с формированием резерва.</w:t>
      </w:r>
    </w:p>
    <w:p w14:paraId="4EC71CA6" w14:textId="77777777" w:rsidR="000F1C40" w:rsidRDefault="000F1C40">
      <w:pPr>
        <w:keepNext/>
      </w:pPr>
    </w:p>
    <w:p w14:paraId="47A2F9C6" w14:textId="77777777" w:rsidR="000F1C40" w:rsidRDefault="003E354E">
      <w:pPr>
        <w:pStyle w:val="21"/>
      </w:pPr>
      <w:bookmarkStart w:id="3" w:name="_Toc241307062"/>
      <w:r>
        <w:rPr>
          <w:rFonts w:ascii="Times New Roman" w:eastAsia="Times New Roman" w:hAnsi="Times New Roman" w:cs="Times New Roman"/>
        </w:rPr>
        <w:t>2.2 Объект анализа</w:t>
      </w:r>
      <w:bookmarkEnd w:id="3"/>
    </w:p>
    <w:p w14:paraId="5255093B" w14:textId="77777777" w:rsidR="000F1C40" w:rsidRDefault="000F1C40">
      <w:pPr>
        <w:keepNext/>
      </w:pPr>
    </w:p>
    <w:p w14:paraId="234FF048" w14:textId="77777777" w:rsidR="000F1C40" w:rsidRDefault="003E354E">
      <w:r>
        <w:rPr>
          <w:rFonts w:cs="Times New Roman"/>
        </w:rPr>
        <w:t>Объект анализа – проект NotaCode: веб-IDE «diagram as code» с сервисной архитектурой (Web IDE на React, Gateway на Node.js, пять сервисов на Python, PostgreSQL, MongoDB, Redis, RabbitMQ) [3]. Исполнитель – один, бюджет – 0 BYN, критический путь календарного плана – 11 недель, срок MVP – 13.12.2026.</w:t>
      </w:r>
    </w:p>
    <w:p w14:paraId="4CC1B772" w14:textId="77777777" w:rsidR="000F1C40" w:rsidRDefault="000F1C40">
      <w:pPr>
        <w:keepNext/>
      </w:pPr>
    </w:p>
    <w:p w14:paraId="3EA78095" w14:textId="77777777" w:rsidR="000F1C40" w:rsidRDefault="003E354E">
      <w:pPr>
        <w:pStyle w:val="21"/>
      </w:pPr>
      <w:bookmarkStart w:id="4" w:name="_Toc241307063"/>
      <w:r>
        <w:rPr>
          <w:rFonts w:ascii="Times New Roman" w:eastAsia="Times New Roman" w:hAnsi="Times New Roman" w:cs="Times New Roman"/>
        </w:rPr>
        <w:t>2.3 Идентификация рисков</w:t>
      </w:r>
      <w:bookmarkEnd w:id="4"/>
    </w:p>
    <w:p w14:paraId="3AFCAABF" w14:textId="77777777" w:rsidR="000F1C40" w:rsidRDefault="000F1C40">
      <w:pPr>
        <w:keepNext/>
      </w:pPr>
    </w:p>
    <w:p w14:paraId="0A2F3A55" w14:textId="77777777" w:rsidR="000F1C40" w:rsidRDefault="003E354E">
      <w:r>
        <w:rPr>
          <w:rFonts w:cs="Times New Roman"/>
        </w:rPr>
        <w:t>Для идентификации рисков применены методы:</w:t>
      </w:r>
    </w:p>
    <w:p w14:paraId="50DD734B" w14:textId="77777777" w:rsidR="000F1C40" w:rsidRDefault="003E354E">
      <w:r>
        <w:rPr>
          <w:rFonts w:cs="Times New Roman"/>
        </w:rPr>
        <w:t>– анализ документации – архитектура, план спринтов, спецификация требований;</w:t>
      </w:r>
    </w:p>
    <w:p w14:paraId="5A9CE8B9" w14:textId="77777777" w:rsidR="000F1C40" w:rsidRDefault="003E354E">
      <w:r>
        <w:rPr>
          <w:rFonts w:cs="Times New Roman"/>
        </w:rPr>
        <w:t>– анализ контрольных листов – список десяти распространённых рисков Б. Боэма [4] и источники рисков Т. ДеМарко и Т. Листера [5];</w:t>
      </w:r>
    </w:p>
    <w:p w14:paraId="5098F14D" w14:textId="77777777" w:rsidR="000F1C40" w:rsidRDefault="003E354E">
      <w:r>
        <w:rPr>
          <w:rFonts w:cs="Times New Roman"/>
        </w:rPr>
        <w:t>– анализ предположений – допущения концепции проекта (практическое занятие № 1);</w:t>
      </w:r>
    </w:p>
    <w:p w14:paraId="166DE6A0" w14:textId="77777777" w:rsidR="000F1C40" w:rsidRDefault="003E354E">
      <w:r>
        <w:rPr>
          <w:rFonts w:cs="Times New Roman"/>
        </w:rPr>
        <w:t>– анализ предыдущих версий проекта – зафиксированные дефекты прототипа DiagramCode.</w:t>
      </w:r>
    </w:p>
    <w:p w14:paraId="11353ED3" w14:textId="77777777" w:rsidR="000F1C40" w:rsidRDefault="003E354E">
      <w:r>
        <w:rPr>
          <w:rFonts w:cs="Times New Roman"/>
        </w:rPr>
        <w:t>Реестр рисков приведён в таблице 2.1.</w:t>
      </w:r>
    </w:p>
    <w:p w14:paraId="42B7EF0E" w14:textId="77777777" w:rsidR="000F1C40" w:rsidRDefault="000F1C40">
      <w:pPr>
        <w:keepNext/>
      </w:pPr>
    </w:p>
    <w:p w14:paraId="255AD417" w14:textId="77777777" w:rsidR="000F1C40" w:rsidRDefault="003E354E">
      <w:pPr>
        <w:keepNext/>
        <w:ind w:firstLine="0"/>
        <w:jc w:val="left"/>
      </w:pPr>
      <w:r>
        <w:rPr>
          <w:rFonts w:cs="Times New Roman"/>
        </w:rPr>
        <w:t>Таблица 2.1 – Реестр рисков проекта NotaCode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4"/>
        <w:gridCol w:w="2700"/>
        <w:gridCol w:w="1940"/>
        <w:gridCol w:w="2335"/>
        <w:gridCol w:w="1982"/>
      </w:tblGrid>
      <w:tr w:rsidR="000F1C40" w14:paraId="20F3C9A9" w14:textId="77777777">
        <w:trPr>
          <w:cantSplit/>
          <w:tblHeader/>
          <w:jc w:val="center"/>
        </w:trPr>
        <w:tc>
          <w:tcPr>
            <w:tcW w:w="624" w:type="dxa"/>
          </w:tcPr>
          <w:p w14:paraId="28872E54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2948" w:type="dxa"/>
          </w:tcPr>
          <w:p w14:paraId="65091A4A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Риск</w:t>
            </w:r>
          </w:p>
        </w:tc>
        <w:tc>
          <w:tcPr>
            <w:tcW w:w="1417" w:type="dxa"/>
          </w:tcPr>
          <w:p w14:paraId="2942778E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Категория</w:t>
            </w:r>
          </w:p>
        </w:tc>
        <w:tc>
          <w:tcPr>
            <w:tcW w:w="2268" w:type="dxa"/>
          </w:tcPr>
          <w:p w14:paraId="75F140EC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Последствия</w:t>
            </w:r>
          </w:p>
        </w:tc>
        <w:tc>
          <w:tcPr>
            <w:tcW w:w="2098" w:type="dxa"/>
          </w:tcPr>
          <w:p w14:paraId="4354A2BB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Триггер</w:t>
            </w:r>
          </w:p>
        </w:tc>
      </w:tr>
      <w:tr w:rsidR="000F1C40" w14:paraId="239E2D54" w14:textId="77777777">
        <w:trPr>
          <w:cantSplit/>
          <w:jc w:val="center"/>
        </w:trPr>
        <w:tc>
          <w:tcPr>
            <w:tcW w:w="624" w:type="dxa"/>
          </w:tcPr>
          <w:p w14:paraId="438C172F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R1</w:t>
            </w:r>
          </w:p>
        </w:tc>
        <w:tc>
          <w:tcPr>
            <w:tcW w:w="2948" w:type="dxa"/>
          </w:tcPr>
          <w:p w14:paraId="70624827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Объём распределённой архитектуры (7 сервисов) превышает ресурсы одного исполнителя</w:t>
            </w:r>
          </w:p>
        </w:tc>
        <w:tc>
          <w:tcPr>
            <w:tcW w:w="1417" w:type="dxa"/>
          </w:tcPr>
          <w:p w14:paraId="0576F775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Планирование</w:t>
            </w:r>
          </w:p>
        </w:tc>
        <w:tc>
          <w:tcPr>
            <w:tcW w:w="2268" w:type="dxa"/>
          </w:tcPr>
          <w:p w14:paraId="3FFFFD93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Срыв MVP к 13.12.2026, неполная демонстрация на защите</w:t>
            </w:r>
          </w:p>
        </w:tc>
        <w:tc>
          <w:tcPr>
            <w:tcW w:w="2098" w:type="dxa"/>
          </w:tcPr>
          <w:p w14:paraId="5AAFC179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Velocity ниже плана два спринта подряд</w:t>
            </w:r>
          </w:p>
        </w:tc>
      </w:tr>
      <w:tr w:rsidR="000F1C40" w14:paraId="489ADE7D" w14:textId="77777777">
        <w:trPr>
          <w:cantSplit/>
          <w:jc w:val="center"/>
        </w:trPr>
        <w:tc>
          <w:tcPr>
            <w:tcW w:w="624" w:type="dxa"/>
          </w:tcPr>
          <w:p w14:paraId="063DB85A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R2</w:t>
            </w:r>
          </w:p>
        </w:tc>
        <w:tc>
          <w:tcPr>
            <w:tcW w:w="2948" w:type="dxa"/>
          </w:tcPr>
          <w:p w14:paraId="08D5F717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Вытеснение продуктовых задач лабораторными работами ч. 2 (8 ЛР, 4 ПЗ)</w:t>
            </w:r>
          </w:p>
        </w:tc>
        <w:tc>
          <w:tcPr>
            <w:tcW w:w="1417" w:type="dxa"/>
          </w:tcPr>
          <w:p w14:paraId="1374EF25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Организационный</w:t>
            </w:r>
          </w:p>
        </w:tc>
        <w:tc>
          <w:tcPr>
            <w:tcW w:w="2268" w:type="dxa"/>
          </w:tcPr>
          <w:p w14:paraId="0807245A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Сдвиг спринтов продукта, накопление долга по MVP</w:t>
            </w:r>
          </w:p>
        </w:tc>
        <w:tc>
          <w:tcPr>
            <w:tcW w:w="2098" w:type="dxa"/>
          </w:tcPr>
          <w:p w14:paraId="150A563B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Лабораторная работа занимает более одного спринта</w:t>
            </w:r>
          </w:p>
        </w:tc>
      </w:tr>
      <w:tr w:rsidR="000F1C40" w14:paraId="0DDF73B0" w14:textId="77777777">
        <w:trPr>
          <w:cantSplit/>
          <w:jc w:val="center"/>
        </w:trPr>
        <w:tc>
          <w:tcPr>
            <w:tcW w:w="624" w:type="dxa"/>
          </w:tcPr>
          <w:p w14:paraId="78563F1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R3</w:t>
            </w:r>
          </w:p>
        </w:tc>
        <w:tc>
          <w:tcPr>
            <w:tcW w:w="2948" w:type="dxa"/>
          </w:tcPr>
          <w:p w14:paraId="1FBE715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Расхождение грамматики DSL и профилей нотаций</w:t>
            </w:r>
          </w:p>
        </w:tc>
        <w:tc>
          <w:tcPr>
            <w:tcW w:w="1417" w:type="dxa"/>
          </w:tcPr>
          <w:p w14:paraId="680E6A9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Технический</w:t>
            </w:r>
          </w:p>
        </w:tc>
        <w:tc>
          <w:tcPr>
            <w:tcW w:w="2268" w:type="dxa"/>
          </w:tcPr>
          <w:p w14:paraId="0C1D3E1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Ошибки HTTP 500, ложная валидация, несовместимые синтаксисы</w:t>
            </w:r>
          </w:p>
        </w:tc>
        <w:tc>
          <w:tcPr>
            <w:tcW w:w="2098" w:type="dxa"/>
          </w:tcPr>
          <w:p w14:paraId="58E2BFA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Падение контрактных тестов каталога нотаций</w:t>
            </w:r>
          </w:p>
        </w:tc>
      </w:tr>
      <w:tr w:rsidR="000F1C40" w14:paraId="2B694D26" w14:textId="77777777">
        <w:trPr>
          <w:cantSplit/>
          <w:jc w:val="center"/>
        </w:trPr>
        <w:tc>
          <w:tcPr>
            <w:tcW w:w="624" w:type="dxa"/>
          </w:tcPr>
          <w:p w14:paraId="5065F0B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R4</w:t>
            </w:r>
          </w:p>
        </w:tc>
        <w:tc>
          <w:tcPr>
            <w:tcW w:w="2948" w:type="dxa"/>
          </w:tcPr>
          <w:p w14:paraId="71D17FA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Хранимая XSS-уязвимость через подписи узлов в SVG</w:t>
            </w:r>
          </w:p>
        </w:tc>
        <w:tc>
          <w:tcPr>
            <w:tcW w:w="1417" w:type="dxa"/>
          </w:tcPr>
          <w:p w14:paraId="0D1A8F8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Безопасность</w:t>
            </w:r>
          </w:p>
        </w:tc>
        <w:tc>
          <w:tcPr>
            <w:tcW w:w="2268" w:type="dxa"/>
          </w:tcPr>
          <w:p w14:paraId="4F00AC2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Компрометация сессий пользователей, утечка данных</w:t>
            </w:r>
          </w:p>
        </w:tc>
        <w:tc>
          <w:tcPr>
            <w:tcW w:w="2098" w:type="dxa"/>
          </w:tcPr>
          <w:p w14:paraId="67D9D91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Замечание аудита безопасности, срабатывание CSP</w:t>
            </w:r>
          </w:p>
        </w:tc>
      </w:tr>
      <w:tr w:rsidR="000F1C40" w14:paraId="48761757" w14:textId="77777777">
        <w:trPr>
          <w:cantSplit/>
          <w:jc w:val="center"/>
        </w:trPr>
        <w:tc>
          <w:tcPr>
            <w:tcW w:w="624" w:type="dxa"/>
          </w:tcPr>
          <w:p w14:paraId="01C17AD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R5</w:t>
            </w:r>
          </w:p>
        </w:tc>
        <w:tc>
          <w:tcPr>
            <w:tcW w:w="2948" w:type="dxa"/>
          </w:tcPr>
          <w:p w14:paraId="7691F08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Требования 100 % покрытия и отсутствия комментариев замедляют разработку</w:t>
            </w:r>
          </w:p>
        </w:tc>
        <w:tc>
          <w:tcPr>
            <w:tcW w:w="1417" w:type="dxa"/>
          </w:tcPr>
          <w:p w14:paraId="57C653C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Технический</w:t>
            </w:r>
          </w:p>
        </w:tc>
        <w:tc>
          <w:tcPr>
            <w:tcW w:w="2268" w:type="dxa"/>
          </w:tcPr>
          <w:p w14:paraId="6E87C75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Рост трудоёмкости задач на 20–30 %</w:t>
            </w:r>
          </w:p>
        </w:tc>
        <w:tc>
          <w:tcPr>
            <w:tcW w:w="2098" w:type="dxa"/>
          </w:tcPr>
          <w:p w14:paraId="69F71F3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Блокировка слияния конвейером CI более двух дней</w:t>
            </w:r>
          </w:p>
        </w:tc>
      </w:tr>
      <w:tr w:rsidR="000F1C40" w14:paraId="4B6A5B92" w14:textId="77777777">
        <w:trPr>
          <w:cantSplit/>
          <w:jc w:val="center"/>
        </w:trPr>
        <w:tc>
          <w:tcPr>
            <w:tcW w:w="624" w:type="dxa"/>
          </w:tcPr>
          <w:p w14:paraId="756A369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R6</w:t>
            </w:r>
          </w:p>
        </w:tc>
        <w:tc>
          <w:tcPr>
            <w:tcW w:w="2948" w:type="dxa"/>
          </w:tcPr>
          <w:p w14:paraId="06BC9AA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Отказ в согласовании Python-сервисов при рекомендованном стеке Node.js</w:t>
            </w:r>
          </w:p>
        </w:tc>
        <w:tc>
          <w:tcPr>
            <w:tcW w:w="1417" w:type="dxa"/>
          </w:tcPr>
          <w:p w14:paraId="0C864FF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Организационный</w:t>
            </w:r>
          </w:p>
        </w:tc>
        <w:tc>
          <w:tcPr>
            <w:tcW w:w="2268" w:type="dxa"/>
          </w:tcPr>
          <w:p w14:paraId="17B57E69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Перенос Language и Workspace Service на Node.js, сдвиг MVP на 2–3 спринта</w:t>
            </w:r>
          </w:p>
        </w:tc>
        <w:tc>
          <w:tcPr>
            <w:tcW w:w="2098" w:type="dxa"/>
          </w:tcPr>
          <w:p w14:paraId="28BF3BE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Замечание руководителя при утверждении раздела 2.1 записки</w:t>
            </w:r>
          </w:p>
        </w:tc>
      </w:tr>
      <w:tr w:rsidR="000F1C40" w14:paraId="1AD621BC" w14:textId="77777777">
        <w:trPr>
          <w:cantSplit/>
          <w:jc w:val="center"/>
        </w:trPr>
        <w:tc>
          <w:tcPr>
            <w:tcW w:w="624" w:type="dxa"/>
          </w:tcPr>
          <w:p w14:paraId="4A47C887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R7</w:t>
            </w:r>
          </w:p>
        </w:tc>
        <w:tc>
          <w:tcPr>
            <w:tcW w:w="2948" w:type="dxa"/>
          </w:tcPr>
          <w:p w14:paraId="3EE4D0B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Перегрузка или болезнь единственного исполнителя</w:t>
            </w:r>
          </w:p>
        </w:tc>
        <w:tc>
          <w:tcPr>
            <w:tcW w:w="1417" w:type="dxa"/>
          </w:tcPr>
          <w:p w14:paraId="6B28B98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Организационный</w:t>
            </w:r>
          </w:p>
        </w:tc>
        <w:tc>
          <w:tcPr>
            <w:tcW w:w="2268" w:type="dxa"/>
          </w:tcPr>
          <w:p w14:paraId="14615159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Остановка всех работ проекта</w:t>
            </w:r>
          </w:p>
        </w:tc>
        <w:tc>
          <w:tcPr>
            <w:tcW w:w="2098" w:type="dxa"/>
          </w:tcPr>
          <w:p w14:paraId="747A81E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Невыполнение цели спринта по причинам вне проекта</w:t>
            </w:r>
          </w:p>
        </w:tc>
      </w:tr>
      <w:tr w:rsidR="000F1C40" w14:paraId="37024BD2" w14:textId="77777777">
        <w:trPr>
          <w:cantSplit/>
          <w:jc w:val="center"/>
        </w:trPr>
        <w:tc>
          <w:tcPr>
            <w:tcW w:w="624" w:type="dxa"/>
          </w:tcPr>
          <w:p w14:paraId="23D8E05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R8</w:t>
            </w:r>
          </w:p>
        </w:tc>
        <w:tc>
          <w:tcPr>
            <w:tcW w:w="2948" w:type="dxa"/>
          </w:tcPr>
          <w:p w14:paraId="5224636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Изменение или отмена бесплатных лимитов LLM API</w:t>
            </w:r>
          </w:p>
        </w:tc>
        <w:tc>
          <w:tcPr>
            <w:tcW w:w="1417" w:type="dxa"/>
          </w:tcPr>
          <w:p w14:paraId="5905ED1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Внешний</w:t>
            </w:r>
          </w:p>
        </w:tc>
        <w:tc>
          <w:tcPr>
            <w:tcW w:w="2268" w:type="dxa"/>
          </w:tcPr>
          <w:p w14:paraId="5365453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AI-ассистент доступен только в режиме заглушки</w:t>
            </w:r>
          </w:p>
        </w:tc>
        <w:tc>
          <w:tcPr>
            <w:tcW w:w="2098" w:type="dxa"/>
          </w:tcPr>
          <w:p w14:paraId="6F1C980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Ответы HTTP 429, отзыв ключа, закрытие сервиса провайдером</w:t>
            </w:r>
          </w:p>
        </w:tc>
      </w:tr>
      <w:tr w:rsidR="000F1C40" w14:paraId="1F05736B" w14:textId="77777777">
        <w:trPr>
          <w:cantSplit/>
          <w:jc w:val="center"/>
        </w:trPr>
        <w:tc>
          <w:tcPr>
            <w:tcW w:w="624" w:type="dxa"/>
          </w:tcPr>
          <w:p w14:paraId="6E237F2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R9</w:t>
            </w:r>
          </w:p>
        </w:tc>
        <w:tc>
          <w:tcPr>
            <w:tcW w:w="2948" w:type="dxa"/>
          </w:tcPr>
          <w:p w14:paraId="62D18FB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Изменение бесплатных тарифов хостинга (Render, Neon, CloudAMQP, Upstash)</w:t>
            </w:r>
          </w:p>
        </w:tc>
        <w:tc>
          <w:tcPr>
            <w:tcW w:w="1417" w:type="dxa"/>
          </w:tcPr>
          <w:p w14:paraId="1C82972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Внешний</w:t>
            </w:r>
          </w:p>
        </w:tc>
        <w:tc>
          <w:tcPr>
            <w:tcW w:w="2268" w:type="dxa"/>
          </w:tcPr>
          <w:p w14:paraId="58EE685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Недоступность демонстрационного стенда на защите</w:t>
            </w:r>
          </w:p>
        </w:tc>
        <w:tc>
          <w:tcPr>
            <w:tcW w:w="2098" w:type="dxa"/>
          </w:tcPr>
          <w:p w14:paraId="4D24FCD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Уведомление провайдера, превышение лимита</w:t>
            </w:r>
          </w:p>
        </w:tc>
      </w:tr>
      <w:tr w:rsidR="000F1C40" w14:paraId="1C438D01" w14:textId="77777777">
        <w:trPr>
          <w:cantSplit/>
          <w:jc w:val="center"/>
        </w:trPr>
        <w:tc>
          <w:tcPr>
            <w:tcW w:w="624" w:type="dxa"/>
          </w:tcPr>
          <w:p w14:paraId="2F298E2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R10</w:t>
            </w:r>
          </w:p>
        </w:tc>
        <w:tc>
          <w:tcPr>
            <w:tcW w:w="2948" w:type="dxa"/>
          </w:tcPr>
          <w:p w14:paraId="683EAC6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Время Run превышает 300 мс для диаграммы из 200 узлов</w:t>
            </w:r>
          </w:p>
        </w:tc>
        <w:tc>
          <w:tcPr>
            <w:tcW w:w="1417" w:type="dxa"/>
          </w:tcPr>
          <w:p w14:paraId="4767F30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Технический</w:t>
            </w:r>
          </w:p>
        </w:tc>
        <w:tc>
          <w:tcPr>
            <w:tcW w:w="2268" w:type="dxa"/>
          </w:tcPr>
          <w:p w14:paraId="79E27189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Невыполнение NFR производительности, задержки интерфейса</w:t>
            </w:r>
          </w:p>
        </w:tc>
        <w:tc>
          <w:tcPr>
            <w:tcW w:w="2098" w:type="dxa"/>
          </w:tcPr>
          <w:p w14:paraId="7F2A7E7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Результаты нагрузочного теста анализа</w:t>
            </w:r>
          </w:p>
        </w:tc>
      </w:tr>
      <w:tr w:rsidR="000F1C40" w14:paraId="17039AF7" w14:textId="77777777">
        <w:trPr>
          <w:cantSplit/>
          <w:jc w:val="center"/>
        </w:trPr>
        <w:tc>
          <w:tcPr>
            <w:tcW w:w="624" w:type="dxa"/>
          </w:tcPr>
          <w:p w14:paraId="6685221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R11</w:t>
            </w:r>
          </w:p>
        </w:tc>
        <w:tc>
          <w:tcPr>
            <w:tcW w:w="2948" w:type="dxa"/>
          </w:tcPr>
          <w:p w14:paraId="1C7AF96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Перенос даты защиты на более ранний срок</w:t>
            </w:r>
          </w:p>
        </w:tc>
        <w:tc>
          <w:tcPr>
            <w:tcW w:w="1417" w:type="dxa"/>
          </w:tcPr>
          <w:p w14:paraId="34BE746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Планирование</w:t>
            </w:r>
          </w:p>
        </w:tc>
        <w:tc>
          <w:tcPr>
            <w:tcW w:w="2268" w:type="dxa"/>
          </w:tcPr>
          <w:p w14:paraId="09837B2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Сокращение объёма MVP</w:t>
            </w:r>
          </w:p>
        </w:tc>
        <w:tc>
          <w:tcPr>
            <w:tcW w:w="2098" w:type="dxa"/>
          </w:tcPr>
          <w:p w14:paraId="1418D08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Объявление расписания защиты</w:t>
            </w:r>
          </w:p>
        </w:tc>
      </w:tr>
      <w:tr w:rsidR="000F1C40" w14:paraId="4712B30C" w14:textId="77777777">
        <w:trPr>
          <w:cantSplit/>
          <w:jc w:val="center"/>
        </w:trPr>
        <w:tc>
          <w:tcPr>
            <w:tcW w:w="624" w:type="dxa"/>
          </w:tcPr>
          <w:p w14:paraId="005CAEC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R12</w:t>
            </w:r>
          </w:p>
        </w:tc>
        <w:tc>
          <w:tcPr>
            <w:tcW w:w="2948" w:type="dxa"/>
          </w:tcPr>
          <w:p w14:paraId="7EA8DE5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Утечка API-ключей и OAuth-токенов</w:t>
            </w:r>
          </w:p>
        </w:tc>
        <w:tc>
          <w:tcPr>
            <w:tcW w:w="1417" w:type="dxa"/>
          </w:tcPr>
          <w:p w14:paraId="2F67246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Безопасность</w:t>
            </w:r>
          </w:p>
        </w:tc>
        <w:tc>
          <w:tcPr>
            <w:tcW w:w="2268" w:type="dxa"/>
          </w:tcPr>
          <w:p w14:paraId="22EC2F1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Блокировка ключей, несанкционированные расходы, репутационный ущерб</w:t>
            </w:r>
          </w:p>
        </w:tc>
        <w:tc>
          <w:tcPr>
            <w:tcW w:w="2098" w:type="dxa"/>
          </w:tcPr>
          <w:p w14:paraId="59D7CE5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Срабатывание secret scanning GitHub</w:t>
            </w:r>
          </w:p>
        </w:tc>
      </w:tr>
      <w:tr w:rsidR="000F1C40" w14:paraId="1DCA2779" w14:textId="77777777">
        <w:trPr>
          <w:cantSplit/>
          <w:jc w:val="center"/>
        </w:trPr>
        <w:tc>
          <w:tcPr>
            <w:tcW w:w="624" w:type="dxa"/>
          </w:tcPr>
          <w:p w14:paraId="336BA0F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R13</w:t>
            </w:r>
          </w:p>
        </w:tc>
        <w:tc>
          <w:tcPr>
            <w:tcW w:w="2948" w:type="dxa"/>
          </w:tcPr>
          <w:p w14:paraId="430BC44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Нарушение Закона РБ № 99-З при обработке персональных данных</w:t>
            </w:r>
          </w:p>
        </w:tc>
        <w:tc>
          <w:tcPr>
            <w:tcW w:w="1417" w:type="dxa"/>
          </w:tcPr>
          <w:p w14:paraId="3575C4B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Правовой</w:t>
            </w:r>
          </w:p>
        </w:tc>
        <w:tc>
          <w:tcPr>
            <w:tcW w:w="2268" w:type="dxa"/>
          </w:tcPr>
          <w:p w14:paraId="0209648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Штраф, проверка НЦЗПД</w:t>
            </w:r>
          </w:p>
        </w:tc>
        <w:tc>
          <w:tcPr>
            <w:tcW w:w="2098" w:type="dxa"/>
          </w:tcPr>
          <w:p w14:paraId="3D63193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Запуск регистрации без политики обработки ПДн</w:t>
            </w:r>
          </w:p>
        </w:tc>
      </w:tr>
    </w:tbl>
    <w:p w14:paraId="6F59200D" w14:textId="77777777" w:rsidR="000F1C40" w:rsidRDefault="000F1C40"/>
    <w:p w14:paraId="492F7D6C" w14:textId="77777777" w:rsidR="000F1C40" w:rsidRDefault="003E354E">
      <w:r>
        <w:rPr>
          <w:rFonts w:cs="Times New Roman"/>
        </w:rPr>
        <w:lastRenderedPageBreak/>
        <w:t>Правовые риски учитывают требования Закона Республики Беларусь «О защите персональных данных» [6].</w:t>
      </w:r>
    </w:p>
    <w:p w14:paraId="3DEB64E3" w14:textId="77777777" w:rsidR="000F1C40" w:rsidRDefault="000F1C40">
      <w:pPr>
        <w:keepNext/>
      </w:pPr>
    </w:p>
    <w:p w14:paraId="0A8A2B57" w14:textId="77777777" w:rsidR="000F1C40" w:rsidRDefault="003E354E">
      <w:pPr>
        <w:pStyle w:val="21"/>
      </w:pPr>
      <w:bookmarkStart w:id="5" w:name="_Toc241307064"/>
      <w:r>
        <w:rPr>
          <w:rFonts w:ascii="Times New Roman" w:eastAsia="Times New Roman" w:hAnsi="Times New Roman" w:cs="Times New Roman"/>
        </w:rPr>
        <w:t>2.4 Качественная оценка рисков</w:t>
      </w:r>
      <w:bookmarkEnd w:id="5"/>
    </w:p>
    <w:p w14:paraId="71AD5808" w14:textId="77777777" w:rsidR="000F1C40" w:rsidRDefault="000F1C40">
      <w:pPr>
        <w:keepNext/>
      </w:pPr>
    </w:p>
    <w:p w14:paraId="22172A49" w14:textId="77777777" w:rsidR="000F1C40" w:rsidRDefault="003E354E">
      <w:r>
        <w:rPr>
          <w:rFonts w:cs="Times New Roman"/>
        </w:rPr>
        <w:t>Оценки P и I получены экспертным методом по шкалам шаблона; H рассчитан по формуле (2.1) в столбце H таблицы «Таблица1» листа «Таблица с рисками». Результаты ранжирования приведены в таблице 2.2.</w:t>
      </w:r>
    </w:p>
    <w:p w14:paraId="6DBE0444" w14:textId="77777777" w:rsidR="000F1C40" w:rsidRDefault="000F1C40">
      <w:pPr>
        <w:keepNext/>
      </w:pPr>
    </w:p>
    <w:p w14:paraId="2DB68510" w14:textId="77777777" w:rsidR="000F1C40" w:rsidRDefault="003E354E">
      <w:pPr>
        <w:keepNext/>
        <w:ind w:firstLine="0"/>
        <w:jc w:val="left"/>
      </w:pPr>
      <w:r>
        <w:rPr>
          <w:rFonts w:cs="Times New Roman"/>
        </w:rPr>
        <w:t>Таблица 2.2 – Качественная оценка и ранжирование рисков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"/>
        <w:gridCol w:w="680"/>
        <w:gridCol w:w="4535"/>
        <w:gridCol w:w="624"/>
        <w:gridCol w:w="624"/>
        <w:gridCol w:w="794"/>
        <w:gridCol w:w="1417"/>
      </w:tblGrid>
      <w:tr w:rsidR="000F1C40" w14:paraId="599A1419" w14:textId="77777777">
        <w:trPr>
          <w:cantSplit/>
          <w:tblHeader/>
          <w:jc w:val="center"/>
        </w:trPr>
        <w:tc>
          <w:tcPr>
            <w:tcW w:w="680" w:type="dxa"/>
          </w:tcPr>
          <w:p w14:paraId="4E1B8111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Ранг</w:t>
            </w:r>
          </w:p>
        </w:tc>
        <w:tc>
          <w:tcPr>
            <w:tcW w:w="680" w:type="dxa"/>
          </w:tcPr>
          <w:p w14:paraId="1033433E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4535" w:type="dxa"/>
          </w:tcPr>
          <w:p w14:paraId="19A761BD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Риск</w:t>
            </w:r>
          </w:p>
        </w:tc>
        <w:tc>
          <w:tcPr>
            <w:tcW w:w="624" w:type="dxa"/>
          </w:tcPr>
          <w:p w14:paraId="455D5CB0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P</w:t>
            </w:r>
          </w:p>
        </w:tc>
        <w:tc>
          <w:tcPr>
            <w:tcW w:w="624" w:type="dxa"/>
          </w:tcPr>
          <w:p w14:paraId="29B99B4A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I</w:t>
            </w:r>
          </w:p>
        </w:tc>
        <w:tc>
          <w:tcPr>
            <w:tcW w:w="794" w:type="dxa"/>
          </w:tcPr>
          <w:p w14:paraId="50872712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H</w:t>
            </w:r>
          </w:p>
        </w:tc>
        <w:tc>
          <w:tcPr>
            <w:tcW w:w="1417" w:type="dxa"/>
          </w:tcPr>
          <w:p w14:paraId="6BF2B86D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Приоритет</w:t>
            </w:r>
          </w:p>
        </w:tc>
      </w:tr>
      <w:tr w:rsidR="000F1C40" w14:paraId="0360CD45" w14:textId="77777777">
        <w:trPr>
          <w:cantSplit/>
          <w:jc w:val="center"/>
        </w:trPr>
        <w:tc>
          <w:tcPr>
            <w:tcW w:w="680" w:type="dxa"/>
          </w:tcPr>
          <w:p w14:paraId="0701EF82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680" w:type="dxa"/>
          </w:tcPr>
          <w:p w14:paraId="704DFB55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R1</w:t>
            </w:r>
          </w:p>
        </w:tc>
        <w:tc>
          <w:tcPr>
            <w:tcW w:w="4535" w:type="dxa"/>
          </w:tcPr>
          <w:p w14:paraId="7AAFD30D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Объём распределённой архитектуры (7 сервисов) превышает ресурсы одного исполнителя</w:t>
            </w:r>
          </w:p>
        </w:tc>
        <w:tc>
          <w:tcPr>
            <w:tcW w:w="624" w:type="dxa"/>
          </w:tcPr>
          <w:p w14:paraId="46409E92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0,7</w:t>
            </w:r>
          </w:p>
        </w:tc>
        <w:tc>
          <w:tcPr>
            <w:tcW w:w="624" w:type="dxa"/>
          </w:tcPr>
          <w:p w14:paraId="381022D4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0,8</w:t>
            </w:r>
          </w:p>
        </w:tc>
        <w:tc>
          <w:tcPr>
            <w:tcW w:w="794" w:type="dxa"/>
          </w:tcPr>
          <w:p w14:paraId="5E14E60C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0,56</w:t>
            </w:r>
          </w:p>
        </w:tc>
        <w:tc>
          <w:tcPr>
            <w:tcW w:w="1417" w:type="dxa"/>
          </w:tcPr>
          <w:p w14:paraId="62CA3BB0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Высокий</w:t>
            </w:r>
          </w:p>
        </w:tc>
      </w:tr>
      <w:tr w:rsidR="000F1C40" w14:paraId="41C8B05C" w14:textId="77777777">
        <w:trPr>
          <w:cantSplit/>
          <w:jc w:val="center"/>
        </w:trPr>
        <w:tc>
          <w:tcPr>
            <w:tcW w:w="680" w:type="dxa"/>
          </w:tcPr>
          <w:p w14:paraId="33AF8CFC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680" w:type="dxa"/>
          </w:tcPr>
          <w:p w14:paraId="70C06CDF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R2</w:t>
            </w:r>
          </w:p>
        </w:tc>
        <w:tc>
          <w:tcPr>
            <w:tcW w:w="4535" w:type="dxa"/>
          </w:tcPr>
          <w:p w14:paraId="211D923C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Вытеснение продуктовых задач лабораторными работами ч. 2 (8 ЛР, 4 ПЗ)</w:t>
            </w:r>
          </w:p>
        </w:tc>
        <w:tc>
          <w:tcPr>
            <w:tcW w:w="624" w:type="dxa"/>
          </w:tcPr>
          <w:p w14:paraId="067FDEF1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0,6</w:t>
            </w:r>
          </w:p>
        </w:tc>
        <w:tc>
          <w:tcPr>
            <w:tcW w:w="624" w:type="dxa"/>
          </w:tcPr>
          <w:p w14:paraId="7298808A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0,6</w:t>
            </w:r>
          </w:p>
        </w:tc>
        <w:tc>
          <w:tcPr>
            <w:tcW w:w="794" w:type="dxa"/>
          </w:tcPr>
          <w:p w14:paraId="5F8828CA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0,36</w:t>
            </w:r>
          </w:p>
        </w:tc>
        <w:tc>
          <w:tcPr>
            <w:tcW w:w="1417" w:type="dxa"/>
          </w:tcPr>
          <w:p w14:paraId="0591B490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09D749E5" w14:textId="77777777">
        <w:trPr>
          <w:cantSplit/>
          <w:jc w:val="center"/>
        </w:trPr>
        <w:tc>
          <w:tcPr>
            <w:tcW w:w="680" w:type="dxa"/>
          </w:tcPr>
          <w:p w14:paraId="4B228E2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680" w:type="dxa"/>
          </w:tcPr>
          <w:p w14:paraId="07B4CBC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R3</w:t>
            </w:r>
          </w:p>
        </w:tc>
        <w:tc>
          <w:tcPr>
            <w:tcW w:w="4535" w:type="dxa"/>
          </w:tcPr>
          <w:p w14:paraId="3DFB82E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Расхождение грамматики DSL и профилей нотаций</w:t>
            </w:r>
          </w:p>
        </w:tc>
        <w:tc>
          <w:tcPr>
            <w:tcW w:w="624" w:type="dxa"/>
          </w:tcPr>
          <w:p w14:paraId="74DA261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0,4</w:t>
            </w:r>
          </w:p>
        </w:tc>
        <w:tc>
          <w:tcPr>
            <w:tcW w:w="624" w:type="dxa"/>
          </w:tcPr>
          <w:p w14:paraId="6FF5484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0,7</w:t>
            </w:r>
          </w:p>
        </w:tc>
        <w:tc>
          <w:tcPr>
            <w:tcW w:w="794" w:type="dxa"/>
          </w:tcPr>
          <w:p w14:paraId="2FE3B87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0,28</w:t>
            </w:r>
          </w:p>
        </w:tc>
        <w:tc>
          <w:tcPr>
            <w:tcW w:w="1417" w:type="dxa"/>
          </w:tcPr>
          <w:p w14:paraId="4E28AF3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07DE610D" w14:textId="77777777">
        <w:trPr>
          <w:cantSplit/>
          <w:jc w:val="center"/>
        </w:trPr>
        <w:tc>
          <w:tcPr>
            <w:tcW w:w="680" w:type="dxa"/>
          </w:tcPr>
          <w:p w14:paraId="233A9967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80" w:type="dxa"/>
          </w:tcPr>
          <w:p w14:paraId="1A1BDBA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R4</w:t>
            </w:r>
          </w:p>
        </w:tc>
        <w:tc>
          <w:tcPr>
            <w:tcW w:w="4535" w:type="dxa"/>
          </w:tcPr>
          <w:p w14:paraId="39C5C02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Хранимая XSS-уязвимость через подписи узлов в SVG</w:t>
            </w:r>
          </w:p>
        </w:tc>
        <w:tc>
          <w:tcPr>
            <w:tcW w:w="624" w:type="dxa"/>
          </w:tcPr>
          <w:p w14:paraId="726A4E8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0,3</w:t>
            </w:r>
          </w:p>
        </w:tc>
        <w:tc>
          <w:tcPr>
            <w:tcW w:w="624" w:type="dxa"/>
          </w:tcPr>
          <w:p w14:paraId="73532BC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0,9</w:t>
            </w:r>
          </w:p>
        </w:tc>
        <w:tc>
          <w:tcPr>
            <w:tcW w:w="794" w:type="dxa"/>
          </w:tcPr>
          <w:p w14:paraId="58C3DEB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0,27</w:t>
            </w:r>
          </w:p>
        </w:tc>
        <w:tc>
          <w:tcPr>
            <w:tcW w:w="1417" w:type="dxa"/>
          </w:tcPr>
          <w:p w14:paraId="6D44EA5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6D09A22B" w14:textId="77777777">
        <w:trPr>
          <w:cantSplit/>
          <w:jc w:val="center"/>
        </w:trPr>
        <w:tc>
          <w:tcPr>
            <w:tcW w:w="680" w:type="dxa"/>
          </w:tcPr>
          <w:p w14:paraId="793DDC9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680" w:type="dxa"/>
          </w:tcPr>
          <w:p w14:paraId="5544F89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R5</w:t>
            </w:r>
          </w:p>
        </w:tc>
        <w:tc>
          <w:tcPr>
            <w:tcW w:w="4535" w:type="dxa"/>
          </w:tcPr>
          <w:p w14:paraId="520130B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Требования 100 % покрытия и отсутствия комментариев замедляют разработку</w:t>
            </w:r>
          </w:p>
        </w:tc>
        <w:tc>
          <w:tcPr>
            <w:tcW w:w="624" w:type="dxa"/>
          </w:tcPr>
          <w:p w14:paraId="12B5B17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0,5</w:t>
            </w:r>
          </w:p>
        </w:tc>
        <w:tc>
          <w:tcPr>
            <w:tcW w:w="624" w:type="dxa"/>
          </w:tcPr>
          <w:p w14:paraId="5F671BA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0,5</w:t>
            </w:r>
          </w:p>
        </w:tc>
        <w:tc>
          <w:tcPr>
            <w:tcW w:w="794" w:type="dxa"/>
          </w:tcPr>
          <w:p w14:paraId="119C5FD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0,25</w:t>
            </w:r>
          </w:p>
        </w:tc>
        <w:tc>
          <w:tcPr>
            <w:tcW w:w="1417" w:type="dxa"/>
          </w:tcPr>
          <w:p w14:paraId="3716495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288DD7C9" w14:textId="77777777">
        <w:trPr>
          <w:cantSplit/>
          <w:jc w:val="center"/>
        </w:trPr>
        <w:tc>
          <w:tcPr>
            <w:tcW w:w="680" w:type="dxa"/>
          </w:tcPr>
          <w:p w14:paraId="259F319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680" w:type="dxa"/>
          </w:tcPr>
          <w:p w14:paraId="673E9CA9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R6</w:t>
            </w:r>
          </w:p>
        </w:tc>
        <w:tc>
          <w:tcPr>
            <w:tcW w:w="4535" w:type="dxa"/>
          </w:tcPr>
          <w:p w14:paraId="680CF6A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Отказ в согласовании Python-сервисов при рекомендованном стеке Node.js</w:t>
            </w:r>
          </w:p>
        </w:tc>
        <w:tc>
          <w:tcPr>
            <w:tcW w:w="624" w:type="dxa"/>
          </w:tcPr>
          <w:p w14:paraId="546051A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0,3</w:t>
            </w:r>
          </w:p>
        </w:tc>
        <w:tc>
          <w:tcPr>
            <w:tcW w:w="624" w:type="dxa"/>
          </w:tcPr>
          <w:p w14:paraId="0E28F80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0,8</w:t>
            </w:r>
          </w:p>
        </w:tc>
        <w:tc>
          <w:tcPr>
            <w:tcW w:w="794" w:type="dxa"/>
          </w:tcPr>
          <w:p w14:paraId="54BF797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0,24</w:t>
            </w:r>
          </w:p>
        </w:tc>
        <w:tc>
          <w:tcPr>
            <w:tcW w:w="1417" w:type="dxa"/>
          </w:tcPr>
          <w:p w14:paraId="50A36CB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5036DE23" w14:textId="77777777">
        <w:trPr>
          <w:cantSplit/>
          <w:jc w:val="center"/>
        </w:trPr>
        <w:tc>
          <w:tcPr>
            <w:tcW w:w="680" w:type="dxa"/>
          </w:tcPr>
          <w:p w14:paraId="649BFBC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680" w:type="dxa"/>
          </w:tcPr>
          <w:p w14:paraId="4F17FA1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R7</w:t>
            </w:r>
          </w:p>
        </w:tc>
        <w:tc>
          <w:tcPr>
            <w:tcW w:w="4535" w:type="dxa"/>
          </w:tcPr>
          <w:p w14:paraId="65E2C9B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Перегрузка или болезнь единственного исполнителя</w:t>
            </w:r>
          </w:p>
        </w:tc>
        <w:tc>
          <w:tcPr>
            <w:tcW w:w="624" w:type="dxa"/>
          </w:tcPr>
          <w:p w14:paraId="4860EDC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0,3</w:t>
            </w:r>
          </w:p>
        </w:tc>
        <w:tc>
          <w:tcPr>
            <w:tcW w:w="624" w:type="dxa"/>
          </w:tcPr>
          <w:p w14:paraId="498FFBD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0,8</w:t>
            </w:r>
          </w:p>
        </w:tc>
        <w:tc>
          <w:tcPr>
            <w:tcW w:w="794" w:type="dxa"/>
          </w:tcPr>
          <w:p w14:paraId="33BE02B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0,24</w:t>
            </w:r>
          </w:p>
        </w:tc>
        <w:tc>
          <w:tcPr>
            <w:tcW w:w="1417" w:type="dxa"/>
          </w:tcPr>
          <w:p w14:paraId="1B7AC727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444C9DD9" w14:textId="77777777">
        <w:trPr>
          <w:cantSplit/>
          <w:jc w:val="center"/>
        </w:trPr>
        <w:tc>
          <w:tcPr>
            <w:tcW w:w="680" w:type="dxa"/>
          </w:tcPr>
          <w:p w14:paraId="63F4BCA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680" w:type="dxa"/>
          </w:tcPr>
          <w:p w14:paraId="3EF7427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R9</w:t>
            </w:r>
          </w:p>
        </w:tc>
        <w:tc>
          <w:tcPr>
            <w:tcW w:w="4535" w:type="dxa"/>
          </w:tcPr>
          <w:p w14:paraId="2EBEA91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Изменение бесплатных тарифов хостинга (Render, Neon, CloudAMQP, Upstash)</w:t>
            </w:r>
          </w:p>
        </w:tc>
        <w:tc>
          <w:tcPr>
            <w:tcW w:w="624" w:type="dxa"/>
          </w:tcPr>
          <w:p w14:paraId="636A0F4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0,3</w:t>
            </w:r>
          </w:p>
        </w:tc>
        <w:tc>
          <w:tcPr>
            <w:tcW w:w="624" w:type="dxa"/>
          </w:tcPr>
          <w:p w14:paraId="76D9FA6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0,7</w:t>
            </w:r>
          </w:p>
        </w:tc>
        <w:tc>
          <w:tcPr>
            <w:tcW w:w="794" w:type="dxa"/>
          </w:tcPr>
          <w:p w14:paraId="23681DC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0,21</w:t>
            </w:r>
          </w:p>
        </w:tc>
        <w:tc>
          <w:tcPr>
            <w:tcW w:w="1417" w:type="dxa"/>
          </w:tcPr>
          <w:p w14:paraId="6C4C405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6A13BD97" w14:textId="77777777">
        <w:trPr>
          <w:cantSplit/>
          <w:jc w:val="center"/>
        </w:trPr>
        <w:tc>
          <w:tcPr>
            <w:tcW w:w="680" w:type="dxa"/>
          </w:tcPr>
          <w:p w14:paraId="4A5064A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680" w:type="dxa"/>
          </w:tcPr>
          <w:p w14:paraId="0933085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R8</w:t>
            </w:r>
          </w:p>
        </w:tc>
        <w:tc>
          <w:tcPr>
            <w:tcW w:w="4535" w:type="dxa"/>
          </w:tcPr>
          <w:p w14:paraId="05D3634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Изменение или отмена бесплатных лимитов LLM API</w:t>
            </w:r>
          </w:p>
        </w:tc>
        <w:tc>
          <w:tcPr>
            <w:tcW w:w="624" w:type="dxa"/>
          </w:tcPr>
          <w:p w14:paraId="199519D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0,5</w:t>
            </w:r>
          </w:p>
        </w:tc>
        <w:tc>
          <w:tcPr>
            <w:tcW w:w="624" w:type="dxa"/>
          </w:tcPr>
          <w:p w14:paraId="080D7F5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0,4</w:t>
            </w:r>
          </w:p>
        </w:tc>
        <w:tc>
          <w:tcPr>
            <w:tcW w:w="794" w:type="dxa"/>
          </w:tcPr>
          <w:p w14:paraId="08DBCAF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</w:t>
            </w:r>
          </w:p>
        </w:tc>
        <w:tc>
          <w:tcPr>
            <w:tcW w:w="1417" w:type="dxa"/>
          </w:tcPr>
          <w:p w14:paraId="7306E1D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5E641CC7" w14:textId="77777777">
        <w:trPr>
          <w:cantSplit/>
          <w:jc w:val="center"/>
        </w:trPr>
        <w:tc>
          <w:tcPr>
            <w:tcW w:w="680" w:type="dxa"/>
          </w:tcPr>
          <w:p w14:paraId="125D2FB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680" w:type="dxa"/>
          </w:tcPr>
          <w:p w14:paraId="1BFB20A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R11</w:t>
            </w:r>
          </w:p>
        </w:tc>
        <w:tc>
          <w:tcPr>
            <w:tcW w:w="4535" w:type="dxa"/>
          </w:tcPr>
          <w:p w14:paraId="0C202C2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Перенос даты защиты на более ранний срок</w:t>
            </w:r>
          </w:p>
        </w:tc>
        <w:tc>
          <w:tcPr>
            <w:tcW w:w="624" w:type="dxa"/>
          </w:tcPr>
          <w:p w14:paraId="494A1E8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0,3</w:t>
            </w:r>
          </w:p>
        </w:tc>
        <w:tc>
          <w:tcPr>
            <w:tcW w:w="624" w:type="dxa"/>
          </w:tcPr>
          <w:p w14:paraId="3B81AC0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0,6</w:t>
            </w:r>
          </w:p>
        </w:tc>
        <w:tc>
          <w:tcPr>
            <w:tcW w:w="794" w:type="dxa"/>
          </w:tcPr>
          <w:p w14:paraId="78B289D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0,18</w:t>
            </w:r>
          </w:p>
        </w:tc>
        <w:tc>
          <w:tcPr>
            <w:tcW w:w="1417" w:type="dxa"/>
          </w:tcPr>
          <w:p w14:paraId="745E3D57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614424F8" w14:textId="77777777">
        <w:trPr>
          <w:cantSplit/>
          <w:jc w:val="center"/>
        </w:trPr>
        <w:tc>
          <w:tcPr>
            <w:tcW w:w="680" w:type="dxa"/>
          </w:tcPr>
          <w:p w14:paraId="41B0E6F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11</w:t>
            </w:r>
          </w:p>
        </w:tc>
        <w:tc>
          <w:tcPr>
            <w:tcW w:w="680" w:type="dxa"/>
          </w:tcPr>
          <w:p w14:paraId="3A99886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R12</w:t>
            </w:r>
          </w:p>
        </w:tc>
        <w:tc>
          <w:tcPr>
            <w:tcW w:w="4535" w:type="dxa"/>
          </w:tcPr>
          <w:p w14:paraId="2F133FE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Утечка API-ключей и OAuth-токенов</w:t>
            </w:r>
          </w:p>
        </w:tc>
        <w:tc>
          <w:tcPr>
            <w:tcW w:w="624" w:type="dxa"/>
          </w:tcPr>
          <w:p w14:paraId="10880C6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</w:t>
            </w:r>
          </w:p>
        </w:tc>
        <w:tc>
          <w:tcPr>
            <w:tcW w:w="624" w:type="dxa"/>
          </w:tcPr>
          <w:p w14:paraId="4E51038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0,8</w:t>
            </w:r>
          </w:p>
        </w:tc>
        <w:tc>
          <w:tcPr>
            <w:tcW w:w="794" w:type="dxa"/>
          </w:tcPr>
          <w:p w14:paraId="1500C3F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0,16</w:t>
            </w:r>
          </w:p>
        </w:tc>
        <w:tc>
          <w:tcPr>
            <w:tcW w:w="1417" w:type="dxa"/>
          </w:tcPr>
          <w:p w14:paraId="596A622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56636C62" w14:textId="77777777">
        <w:trPr>
          <w:cantSplit/>
          <w:jc w:val="center"/>
        </w:trPr>
        <w:tc>
          <w:tcPr>
            <w:tcW w:w="680" w:type="dxa"/>
          </w:tcPr>
          <w:p w14:paraId="0E4B1DC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12</w:t>
            </w:r>
          </w:p>
        </w:tc>
        <w:tc>
          <w:tcPr>
            <w:tcW w:w="680" w:type="dxa"/>
          </w:tcPr>
          <w:p w14:paraId="72C2336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R10</w:t>
            </w:r>
          </w:p>
        </w:tc>
        <w:tc>
          <w:tcPr>
            <w:tcW w:w="4535" w:type="dxa"/>
          </w:tcPr>
          <w:p w14:paraId="1F3B0E0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Время Run превышает 300 мс для диаграммы из 200 узлов</w:t>
            </w:r>
          </w:p>
        </w:tc>
        <w:tc>
          <w:tcPr>
            <w:tcW w:w="624" w:type="dxa"/>
          </w:tcPr>
          <w:p w14:paraId="3794DB29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0,3</w:t>
            </w:r>
          </w:p>
        </w:tc>
        <w:tc>
          <w:tcPr>
            <w:tcW w:w="624" w:type="dxa"/>
          </w:tcPr>
          <w:p w14:paraId="64A8807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0,5</w:t>
            </w:r>
          </w:p>
        </w:tc>
        <w:tc>
          <w:tcPr>
            <w:tcW w:w="794" w:type="dxa"/>
          </w:tcPr>
          <w:p w14:paraId="2F556DD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0,15</w:t>
            </w:r>
          </w:p>
        </w:tc>
        <w:tc>
          <w:tcPr>
            <w:tcW w:w="1417" w:type="dxa"/>
          </w:tcPr>
          <w:p w14:paraId="7B646AD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Средний</w:t>
            </w:r>
          </w:p>
        </w:tc>
      </w:tr>
      <w:tr w:rsidR="000F1C40" w14:paraId="1016B74B" w14:textId="77777777">
        <w:trPr>
          <w:cantSplit/>
          <w:jc w:val="center"/>
        </w:trPr>
        <w:tc>
          <w:tcPr>
            <w:tcW w:w="680" w:type="dxa"/>
          </w:tcPr>
          <w:p w14:paraId="3F41C0F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680" w:type="dxa"/>
          </w:tcPr>
          <w:p w14:paraId="5893D97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R13</w:t>
            </w:r>
          </w:p>
        </w:tc>
        <w:tc>
          <w:tcPr>
            <w:tcW w:w="4535" w:type="dxa"/>
          </w:tcPr>
          <w:p w14:paraId="3B0B2E2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Нарушение Закона РБ № 99-З при обработке персональных данных</w:t>
            </w:r>
          </w:p>
        </w:tc>
        <w:tc>
          <w:tcPr>
            <w:tcW w:w="624" w:type="dxa"/>
          </w:tcPr>
          <w:p w14:paraId="36F692A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</w:t>
            </w:r>
          </w:p>
        </w:tc>
        <w:tc>
          <w:tcPr>
            <w:tcW w:w="624" w:type="dxa"/>
          </w:tcPr>
          <w:p w14:paraId="2C647CD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0,6</w:t>
            </w:r>
          </w:p>
        </w:tc>
        <w:tc>
          <w:tcPr>
            <w:tcW w:w="794" w:type="dxa"/>
          </w:tcPr>
          <w:p w14:paraId="26150C3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0,12</w:t>
            </w:r>
          </w:p>
        </w:tc>
        <w:tc>
          <w:tcPr>
            <w:tcW w:w="1417" w:type="dxa"/>
          </w:tcPr>
          <w:p w14:paraId="1083170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Низкий</w:t>
            </w:r>
          </w:p>
        </w:tc>
      </w:tr>
    </w:tbl>
    <w:p w14:paraId="52826C9F" w14:textId="77777777" w:rsidR="000F1C40" w:rsidRDefault="000F1C40"/>
    <w:p w14:paraId="708DE853" w14:textId="77777777" w:rsidR="000F1C40" w:rsidRDefault="003E354E">
      <w:r>
        <w:rPr>
          <w:rFonts w:cs="Times New Roman"/>
        </w:rPr>
        <w:t>Распределение по приоритетам: высокий – 1, средний – 11, низкий – 1. Наибольший коэффициент H = 0,56 имеет риск R1 «Объём распределённой архитектуры (7 сервисов) превышает ресурсы одного исполнителя»: 0,7 × 0,8 = 0,56 ≥ 0,505.</w:t>
      </w:r>
    </w:p>
    <w:p w14:paraId="0F16ACD2" w14:textId="77777777" w:rsidR="000F1C40" w:rsidRDefault="000F1C40">
      <w:pPr>
        <w:keepNext/>
      </w:pPr>
    </w:p>
    <w:p w14:paraId="73F0A0B8" w14:textId="77777777" w:rsidR="000F1C40" w:rsidRDefault="003E354E">
      <w:pPr>
        <w:pStyle w:val="21"/>
      </w:pPr>
      <w:bookmarkStart w:id="6" w:name="_Toc241307065"/>
      <w:r>
        <w:rPr>
          <w:rFonts w:ascii="Times New Roman" w:eastAsia="Times New Roman" w:hAnsi="Times New Roman" w:cs="Times New Roman"/>
        </w:rPr>
        <w:t>2.5 Карта рисков</w:t>
      </w:r>
      <w:bookmarkEnd w:id="6"/>
    </w:p>
    <w:p w14:paraId="7152A807" w14:textId="77777777" w:rsidR="000F1C40" w:rsidRDefault="000F1C40">
      <w:pPr>
        <w:keepNext/>
      </w:pPr>
    </w:p>
    <w:p w14:paraId="0B05180C" w14:textId="77777777" w:rsidR="000F1C40" w:rsidRDefault="003E354E">
      <w:r>
        <w:rPr>
          <w:rFonts w:cs="Times New Roman"/>
        </w:rPr>
        <w:t>Лист «Карта рисков» содержит точечную диаграмму по столбцам F (вероятность) и G (сила воздействия); подписи точек R1–R13 соответствуют номерам рисков (рисунок 2.1).</w:t>
      </w:r>
    </w:p>
    <w:p w14:paraId="5D782F71" w14:textId="77777777" w:rsidR="000F1C40" w:rsidRDefault="000F1C40">
      <w:pPr>
        <w:keepNext/>
      </w:pPr>
    </w:p>
    <w:p w14:paraId="66C0ECE5" w14:textId="77777777" w:rsidR="000F1C40" w:rsidRDefault="003E354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EC13B39" wp14:editId="1609E289">
            <wp:extent cx="4680000" cy="3202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Excel - Карта рисков - Nota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0E25" w14:textId="77777777" w:rsidR="000F1C40" w:rsidRDefault="000F1C40">
      <w:pPr>
        <w:keepNext/>
      </w:pPr>
    </w:p>
    <w:p w14:paraId="31246C12" w14:textId="77777777" w:rsidR="000F1C40" w:rsidRDefault="003E354E">
      <w:pPr>
        <w:ind w:firstLine="0"/>
        <w:jc w:val="center"/>
      </w:pPr>
      <w:r>
        <w:rPr>
          <w:rFonts w:cs="Times New Roman"/>
        </w:rPr>
        <w:t>Рисунок 2.1 – Карта рисков на листе «Карта рисков»</w:t>
      </w:r>
    </w:p>
    <w:p w14:paraId="5D52C514" w14:textId="77777777" w:rsidR="000F1C40" w:rsidRDefault="000F1C40"/>
    <w:p w14:paraId="4B5F889A" w14:textId="77777777" w:rsidR="000F1C40" w:rsidRDefault="003E354E">
      <w:r>
        <w:rPr>
          <w:rFonts w:cs="Times New Roman"/>
        </w:rPr>
        <w:t>Карта с зонами приоритета по порогам шаблона приведена на рисунке 2.2, тепловая матрица по шкалам 1–5 – на рисунке 2.3.</w:t>
      </w:r>
    </w:p>
    <w:p w14:paraId="2B084AD9" w14:textId="77777777" w:rsidR="000F1C40" w:rsidRDefault="000F1C40">
      <w:pPr>
        <w:keepNext/>
      </w:pPr>
    </w:p>
    <w:p w14:paraId="782C2492" w14:textId="77777777" w:rsidR="000F1C40" w:rsidRDefault="003E354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4459AB" wp14:editId="1D30BBEE">
            <wp:extent cx="4680000" cy="37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а рисков (зоны) - Nota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E8A7" w14:textId="77777777" w:rsidR="000F1C40" w:rsidRDefault="000F1C40">
      <w:pPr>
        <w:keepNext/>
      </w:pPr>
    </w:p>
    <w:p w14:paraId="6F8132FF" w14:textId="77777777" w:rsidR="000F1C40" w:rsidRDefault="003E354E">
      <w:pPr>
        <w:ind w:firstLine="0"/>
        <w:jc w:val="center"/>
      </w:pPr>
      <w:r>
        <w:rPr>
          <w:rFonts w:cs="Times New Roman"/>
        </w:rPr>
        <w:t>Рисунок 2.2 – Карта рисков с зонами приоритета</w:t>
      </w:r>
    </w:p>
    <w:p w14:paraId="4A8E42CB" w14:textId="77777777" w:rsidR="000F1C40" w:rsidRDefault="000F1C40"/>
    <w:p w14:paraId="4EA53DC9" w14:textId="77777777" w:rsidR="000F1C40" w:rsidRDefault="000F1C40">
      <w:pPr>
        <w:keepNext/>
      </w:pPr>
    </w:p>
    <w:p w14:paraId="34403245" w14:textId="77777777" w:rsidR="000F1C40" w:rsidRDefault="003E354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1A665E3" wp14:editId="179F99CC">
            <wp:extent cx="4680000" cy="39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пловая матрица 5x5 - Nota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4A46" w14:textId="77777777" w:rsidR="000F1C40" w:rsidRDefault="000F1C40">
      <w:pPr>
        <w:keepNext/>
      </w:pPr>
    </w:p>
    <w:p w14:paraId="1A8F24AB" w14:textId="77777777" w:rsidR="000F1C40" w:rsidRDefault="003E354E">
      <w:pPr>
        <w:ind w:firstLine="0"/>
        <w:jc w:val="center"/>
      </w:pPr>
      <w:r>
        <w:rPr>
          <w:rFonts w:cs="Times New Roman"/>
        </w:rPr>
        <w:t>Рисунок 2.3 – Тепловая матрица «вероятность × воздействие»</w:t>
      </w:r>
    </w:p>
    <w:p w14:paraId="007E614F" w14:textId="77777777" w:rsidR="000F1C40" w:rsidRDefault="000F1C40"/>
    <w:p w14:paraId="0B67B51F" w14:textId="77777777" w:rsidR="000F1C40" w:rsidRDefault="003E354E">
      <w:pPr>
        <w:pStyle w:val="21"/>
      </w:pPr>
      <w:bookmarkStart w:id="7" w:name="_Toc241307066"/>
      <w:r>
        <w:rPr>
          <w:rFonts w:ascii="Times New Roman" w:eastAsia="Times New Roman" w:hAnsi="Times New Roman" w:cs="Times New Roman"/>
        </w:rPr>
        <w:t>2.6 Планирование реагирования на риски</w:t>
      </w:r>
      <w:bookmarkEnd w:id="7"/>
    </w:p>
    <w:p w14:paraId="249C1A31" w14:textId="77777777" w:rsidR="000F1C40" w:rsidRDefault="000F1C40">
      <w:pPr>
        <w:keepNext/>
      </w:pPr>
    </w:p>
    <w:p w14:paraId="13A58410" w14:textId="77777777" w:rsidR="000F1C40" w:rsidRDefault="003E354E">
      <w:r>
        <w:rPr>
          <w:rFonts w:cs="Times New Roman"/>
        </w:rPr>
        <w:t>Анализ выполнен в порядке убывания значимости риска: для каждого риска сопоставлены возможные потери и затраты на мероприятия. Стратегии и мероприятия приведены в таблице 2.3.</w:t>
      </w:r>
    </w:p>
    <w:p w14:paraId="4FC802C3" w14:textId="77777777" w:rsidR="000F1C40" w:rsidRDefault="000F1C40">
      <w:pPr>
        <w:keepNext/>
      </w:pPr>
    </w:p>
    <w:p w14:paraId="471EC3BA" w14:textId="77777777" w:rsidR="000F1C40" w:rsidRDefault="003E354E">
      <w:pPr>
        <w:keepNext/>
        <w:ind w:firstLine="0"/>
        <w:jc w:val="left"/>
      </w:pPr>
      <w:r>
        <w:rPr>
          <w:rFonts w:cs="Times New Roman"/>
        </w:rPr>
        <w:t>Таблица 2.3 – Стратегии и мероприятия реагирования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737"/>
        <w:gridCol w:w="1474"/>
        <w:gridCol w:w="6463"/>
      </w:tblGrid>
      <w:tr w:rsidR="000F1C40" w14:paraId="53D8AF68" w14:textId="77777777">
        <w:trPr>
          <w:cantSplit/>
          <w:tblHeader/>
          <w:jc w:val="center"/>
        </w:trPr>
        <w:tc>
          <w:tcPr>
            <w:tcW w:w="680" w:type="dxa"/>
          </w:tcPr>
          <w:p w14:paraId="0247804E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737" w:type="dxa"/>
          </w:tcPr>
          <w:p w14:paraId="0C11D9A0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H</w:t>
            </w:r>
          </w:p>
        </w:tc>
        <w:tc>
          <w:tcPr>
            <w:tcW w:w="1474" w:type="dxa"/>
          </w:tcPr>
          <w:p w14:paraId="23D685D4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Стратегия</w:t>
            </w:r>
          </w:p>
        </w:tc>
        <w:tc>
          <w:tcPr>
            <w:tcW w:w="6463" w:type="dxa"/>
          </w:tcPr>
          <w:p w14:paraId="77D8D10C" w14:textId="77777777" w:rsidR="000F1C40" w:rsidRDefault="003E354E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2"/>
              </w:rPr>
              <w:t>Мероприятия</w:t>
            </w:r>
          </w:p>
        </w:tc>
      </w:tr>
      <w:tr w:rsidR="000F1C40" w14:paraId="0655812F" w14:textId="77777777">
        <w:trPr>
          <w:cantSplit/>
          <w:jc w:val="center"/>
        </w:trPr>
        <w:tc>
          <w:tcPr>
            <w:tcW w:w="680" w:type="dxa"/>
          </w:tcPr>
          <w:p w14:paraId="3ACE1C8C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R1</w:t>
            </w:r>
          </w:p>
        </w:tc>
        <w:tc>
          <w:tcPr>
            <w:tcW w:w="737" w:type="dxa"/>
          </w:tcPr>
          <w:p w14:paraId="1029F2B1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0,56</w:t>
            </w:r>
          </w:p>
        </w:tc>
        <w:tc>
          <w:tcPr>
            <w:tcW w:w="1474" w:type="dxa"/>
          </w:tcPr>
          <w:p w14:paraId="34501CE2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Снижение</w:t>
            </w:r>
          </w:p>
        </w:tc>
        <w:tc>
          <w:tcPr>
            <w:tcW w:w="6463" w:type="dxa"/>
          </w:tcPr>
          <w:p w14:paraId="0070E6DE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Walking skeleton в S0, поэтапное подключение сервисов, перенос Could have в Post-MVP</w:t>
            </w:r>
          </w:p>
        </w:tc>
      </w:tr>
      <w:tr w:rsidR="000F1C40" w14:paraId="015DD182" w14:textId="77777777">
        <w:trPr>
          <w:cantSplit/>
          <w:jc w:val="center"/>
        </w:trPr>
        <w:tc>
          <w:tcPr>
            <w:tcW w:w="680" w:type="dxa"/>
          </w:tcPr>
          <w:p w14:paraId="194993D6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R2</w:t>
            </w:r>
          </w:p>
        </w:tc>
        <w:tc>
          <w:tcPr>
            <w:tcW w:w="737" w:type="dxa"/>
          </w:tcPr>
          <w:p w14:paraId="36B93AB6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0,36</w:t>
            </w:r>
          </w:p>
        </w:tc>
        <w:tc>
          <w:tcPr>
            <w:tcW w:w="1474" w:type="dxa"/>
          </w:tcPr>
          <w:p w14:paraId="7B0E3B00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Снижение</w:t>
            </w:r>
          </w:p>
        </w:tc>
        <w:tc>
          <w:tcPr>
            <w:tcW w:w="6463" w:type="dxa"/>
          </w:tcPr>
          <w:p w14:paraId="6BFA6E13" w14:textId="77777777" w:rsidR="000F1C40" w:rsidRDefault="003E354E">
            <w:pPr>
              <w:keepNext/>
              <w:ind w:firstLine="0"/>
              <w:jc w:val="left"/>
            </w:pPr>
            <w:r>
              <w:rPr>
                <w:rFonts w:cs="Times New Roman"/>
                <w:sz w:val="22"/>
              </w:rPr>
              <w:t>Лабораторная работа реализуется как компонент продукта (Gateway, Web IDE); дорожка Expedite с WIP = 1</w:t>
            </w:r>
          </w:p>
        </w:tc>
      </w:tr>
      <w:tr w:rsidR="000F1C40" w14:paraId="574C8779" w14:textId="77777777">
        <w:trPr>
          <w:cantSplit/>
          <w:jc w:val="center"/>
        </w:trPr>
        <w:tc>
          <w:tcPr>
            <w:tcW w:w="680" w:type="dxa"/>
          </w:tcPr>
          <w:p w14:paraId="073B0C6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R3</w:t>
            </w:r>
          </w:p>
        </w:tc>
        <w:tc>
          <w:tcPr>
            <w:tcW w:w="737" w:type="dxa"/>
          </w:tcPr>
          <w:p w14:paraId="7F58347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0,28</w:t>
            </w:r>
          </w:p>
        </w:tc>
        <w:tc>
          <w:tcPr>
            <w:tcW w:w="1474" w:type="dxa"/>
          </w:tcPr>
          <w:p w14:paraId="75E0DB01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Уклонение</w:t>
            </w:r>
          </w:p>
        </w:tc>
        <w:tc>
          <w:tcPr>
            <w:tcW w:w="6463" w:type="dxa"/>
          </w:tcPr>
          <w:p w14:paraId="4E3EB90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Единый каталог нотаций в packages/contracts; генерация подсветки, шаблонов и промптов из каталога</w:t>
            </w:r>
          </w:p>
        </w:tc>
      </w:tr>
      <w:tr w:rsidR="000F1C40" w14:paraId="09EE5D6C" w14:textId="77777777">
        <w:trPr>
          <w:cantSplit/>
          <w:jc w:val="center"/>
        </w:trPr>
        <w:tc>
          <w:tcPr>
            <w:tcW w:w="680" w:type="dxa"/>
          </w:tcPr>
          <w:p w14:paraId="2DF60F9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R4</w:t>
            </w:r>
          </w:p>
        </w:tc>
        <w:tc>
          <w:tcPr>
            <w:tcW w:w="737" w:type="dxa"/>
          </w:tcPr>
          <w:p w14:paraId="53BFE2A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0,27</w:t>
            </w:r>
          </w:p>
        </w:tc>
        <w:tc>
          <w:tcPr>
            <w:tcW w:w="1474" w:type="dxa"/>
          </w:tcPr>
          <w:p w14:paraId="0366E44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Уклонение</w:t>
            </w:r>
          </w:p>
        </w:tc>
        <w:tc>
          <w:tcPr>
            <w:tcW w:w="6463" w:type="dxa"/>
          </w:tcPr>
          <w:p w14:paraId="1D4F655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Экранирование подписей в модели, санитизация SVG (DOMPurify), политика CSP</w:t>
            </w:r>
          </w:p>
        </w:tc>
      </w:tr>
      <w:tr w:rsidR="000F1C40" w14:paraId="668139E8" w14:textId="77777777">
        <w:trPr>
          <w:cantSplit/>
          <w:jc w:val="center"/>
        </w:trPr>
        <w:tc>
          <w:tcPr>
            <w:tcW w:w="680" w:type="dxa"/>
          </w:tcPr>
          <w:p w14:paraId="1882A3E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R5</w:t>
            </w:r>
          </w:p>
        </w:tc>
        <w:tc>
          <w:tcPr>
            <w:tcW w:w="737" w:type="dxa"/>
          </w:tcPr>
          <w:p w14:paraId="66D7443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0,25</w:t>
            </w:r>
          </w:p>
        </w:tc>
        <w:tc>
          <w:tcPr>
            <w:tcW w:w="1474" w:type="dxa"/>
          </w:tcPr>
          <w:p w14:paraId="6B61B82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Снижение</w:t>
            </w:r>
          </w:p>
        </w:tc>
        <w:tc>
          <w:tcPr>
            <w:tcW w:w="6463" w:type="dxa"/>
          </w:tcPr>
          <w:p w14:paraId="1EE2311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TDD с первого спринта, чистое доменное ядро, моки портов, линтер-правило запрета комментариев</w:t>
            </w:r>
          </w:p>
        </w:tc>
      </w:tr>
      <w:tr w:rsidR="000F1C40" w14:paraId="59E72B19" w14:textId="77777777">
        <w:trPr>
          <w:cantSplit/>
          <w:jc w:val="center"/>
        </w:trPr>
        <w:tc>
          <w:tcPr>
            <w:tcW w:w="680" w:type="dxa"/>
          </w:tcPr>
          <w:p w14:paraId="0697663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R6</w:t>
            </w:r>
          </w:p>
        </w:tc>
        <w:tc>
          <w:tcPr>
            <w:tcW w:w="737" w:type="dxa"/>
          </w:tcPr>
          <w:p w14:paraId="79399CF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0,24</w:t>
            </w:r>
          </w:p>
        </w:tc>
        <w:tc>
          <w:tcPr>
            <w:tcW w:w="1474" w:type="dxa"/>
          </w:tcPr>
          <w:p w14:paraId="32472D5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Снижение</w:t>
            </w:r>
          </w:p>
        </w:tc>
        <w:tc>
          <w:tcPr>
            <w:tcW w:w="6463" w:type="dxa"/>
          </w:tcPr>
          <w:p w14:paraId="6FA2F6E9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Обоснование выбора в разделе 2.1, согласование в спринте S1; Gateway на Node.js закрывает требования ЛР1–ЛР8</w:t>
            </w:r>
          </w:p>
        </w:tc>
      </w:tr>
      <w:tr w:rsidR="000F1C40" w14:paraId="5523AEC7" w14:textId="77777777">
        <w:trPr>
          <w:cantSplit/>
          <w:jc w:val="center"/>
        </w:trPr>
        <w:tc>
          <w:tcPr>
            <w:tcW w:w="680" w:type="dxa"/>
          </w:tcPr>
          <w:p w14:paraId="146D520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R7</w:t>
            </w:r>
          </w:p>
        </w:tc>
        <w:tc>
          <w:tcPr>
            <w:tcW w:w="737" w:type="dxa"/>
          </w:tcPr>
          <w:p w14:paraId="40EF7D67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0,24</w:t>
            </w:r>
          </w:p>
        </w:tc>
        <w:tc>
          <w:tcPr>
            <w:tcW w:w="1474" w:type="dxa"/>
          </w:tcPr>
          <w:p w14:paraId="3EAAA31F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Принятие</w:t>
            </w:r>
          </w:p>
        </w:tc>
        <w:tc>
          <w:tcPr>
            <w:tcW w:w="6463" w:type="dxa"/>
          </w:tcPr>
          <w:p w14:paraId="3340B9C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Буферный спринт S12, документация и ADR в репозитории, автоматизация рутинных задач</w:t>
            </w:r>
          </w:p>
        </w:tc>
      </w:tr>
      <w:tr w:rsidR="000F1C40" w14:paraId="2394B85B" w14:textId="77777777">
        <w:trPr>
          <w:cantSplit/>
          <w:jc w:val="center"/>
        </w:trPr>
        <w:tc>
          <w:tcPr>
            <w:tcW w:w="680" w:type="dxa"/>
          </w:tcPr>
          <w:p w14:paraId="54F4FDE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R9</w:t>
            </w:r>
          </w:p>
        </w:tc>
        <w:tc>
          <w:tcPr>
            <w:tcW w:w="737" w:type="dxa"/>
          </w:tcPr>
          <w:p w14:paraId="55BE740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0,21</w:t>
            </w:r>
          </w:p>
        </w:tc>
        <w:tc>
          <w:tcPr>
            <w:tcW w:w="1474" w:type="dxa"/>
          </w:tcPr>
          <w:p w14:paraId="0676A90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Передача</w:t>
            </w:r>
          </w:p>
        </w:tc>
        <w:tc>
          <w:tcPr>
            <w:tcW w:w="6463" w:type="dxa"/>
          </w:tcPr>
          <w:p w14:paraId="113E717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Резервный провайдер (Fly.io), локальный стенд docker compose для демонстрации</w:t>
            </w:r>
          </w:p>
        </w:tc>
      </w:tr>
    </w:tbl>
    <w:p w14:paraId="6DD7819F" w14:textId="7F9496CF" w:rsidR="00935DA8" w:rsidRPr="00935DA8" w:rsidRDefault="00935DA8" w:rsidP="00935DA8">
      <w:pPr>
        <w:keepNext/>
        <w:ind w:firstLine="0"/>
        <w:jc w:val="left"/>
      </w:pPr>
      <w:r w:rsidRPr="00935DA8">
        <w:lastRenderedPageBreak/>
        <w:t>Продолжение таблицы 2.3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737"/>
        <w:gridCol w:w="1474"/>
        <w:gridCol w:w="6463"/>
      </w:tblGrid>
      <w:tr w:rsidR="00935DA8" w14:paraId="016E582A" w14:textId="77777777" w:rsidTr="00935DA8">
        <w:trPr>
          <w:cantSplit/>
          <w:tblHeader/>
          <w:jc w:val="center"/>
        </w:trPr>
        <w:tc>
          <w:tcPr>
            <w:tcW w:w="680" w:type="dxa"/>
          </w:tcPr>
          <w:p w14:paraId="0B726E91" w14:textId="3AB1E5F1" w:rsidR="00935DA8" w:rsidRDefault="00935DA8">
            <w:pPr>
              <w:ind w:firstLine="0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737" w:type="dxa"/>
          </w:tcPr>
          <w:p w14:paraId="40086414" w14:textId="11F97806" w:rsidR="00935DA8" w:rsidRDefault="00935DA8">
            <w:pPr>
              <w:ind w:firstLine="0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H</w:t>
            </w:r>
          </w:p>
        </w:tc>
        <w:tc>
          <w:tcPr>
            <w:tcW w:w="1474" w:type="dxa"/>
          </w:tcPr>
          <w:p w14:paraId="1CF41DF9" w14:textId="3D15AFF3" w:rsidR="00935DA8" w:rsidRDefault="00935DA8">
            <w:pPr>
              <w:ind w:firstLine="0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Стратегия</w:t>
            </w:r>
          </w:p>
        </w:tc>
        <w:tc>
          <w:tcPr>
            <w:tcW w:w="6463" w:type="dxa"/>
          </w:tcPr>
          <w:p w14:paraId="5C2E909A" w14:textId="230DBB2B" w:rsidR="00935DA8" w:rsidRDefault="00935DA8">
            <w:pPr>
              <w:ind w:firstLine="0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Мероприятия</w:t>
            </w:r>
          </w:p>
        </w:tc>
      </w:tr>
      <w:tr w:rsidR="000F1C40" w14:paraId="6A7443A7" w14:textId="77777777">
        <w:trPr>
          <w:cantSplit/>
          <w:jc w:val="center"/>
        </w:trPr>
        <w:tc>
          <w:tcPr>
            <w:tcW w:w="680" w:type="dxa"/>
          </w:tcPr>
          <w:p w14:paraId="1B713CC6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R8</w:t>
            </w:r>
          </w:p>
        </w:tc>
        <w:tc>
          <w:tcPr>
            <w:tcW w:w="737" w:type="dxa"/>
          </w:tcPr>
          <w:p w14:paraId="623536D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0,2</w:t>
            </w:r>
          </w:p>
        </w:tc>
        <w:tc>
          <w:tcPr>
            <w:tcW w:w="1474" w:type="dxa"/>
          </w:tcPr>
          <w:p w14:paraId="2E86D2A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Снижение</w:t>
            </w:r>
          </w:p>
        </w:tc>
        <w:tc>
          <w:tcPr>
            <w:tcW w:w="6463" w:type="dxa"/>
          </w:tcPr>
          <w:p w14:paraId="054CB2C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Адаптеры нескольких провайдеров (Gemini, Groq, OpenRouter, Mistral), заглушка по умолчанию, локальный Ollama</w:t>
            </w:r>
          </w:p>
        </w:tc>
      </w:tr>
      <w:tr w:rsidR="000F1C40" w14:paraId="4CC83EE7" w14:textId="77777777">
        <w:trPr>
          <w:cantSplit/>
          <w:jc w:val="center"/>
        </w:trPr>
        <w:tc>
          <w:tcPr>
            <w:tcW w:w="680" w:type="dxa"/>
          </w:tcPr>
          <w:p w14:paraId="09544E1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R11</w:t>
            </w:r>
          </w:p>
        </w:tc>
        <w:tc>
          <w:tcPr>
            <w:tcW w:w="737" w:type="dxa"/>
          </w:tcPr>
          <w:p w14:paraId="024380FA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0,18</w:t>
            </w:r>
          </w:p>
        </w:tc>
        <w:tc>
          <w:tcPr>
            <w:tcW w:w="1474" w:type="dxa"/>
          </w:tcPr>
          <w:p w14:paraId="72B79D08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Принятие</w:t>
            </w:r>
          </w:p>
        </w:tc>
        <w:tc>
          <w:tcPr>
            <w:tcW w:w="6463" w:type="dxa"/>
          </w:tcPr>
          <w:p w14:paraId="09102E2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Запрос даты у руководителя в спринте S1, приоритизация MoSCoW, перенос Should have в Post-MVP</w:t>
            </w:r>
          </w:p>
        </w:tc>
      </w:tr>
      <w:tr w:rsidR="000F1C40" w14:paraId="2F5A4688" w14:textId="77777777">
        <w:trPr>
          <w:cantSplit/>
          <w:jc w:val="center"/>
        </w:trPr>
        <w:tc>
          <w:tcPr>
            <w:tcW w:w="680" w:type="dxa"/>
          </w:tcPr>
          <w:p w14:paraId="3921F37E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R12</w:t>
            </w:r>
          </w:p>
        </w:tc>
        <w:tc>
          <w:tcPr>
            <w:tcW w:w="737" w:type="dxa"/>
          </w:tcPr>
          <w:p w14:paraId="6686FEDD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0,16</w:t>
            </w:r>
          </w:p>
        </w:tc>
        <w:tc>
          <w:tcPr>
            <w:tcW w:w="1474" w:type="dxa"/>
          </w:tcPr>
          <w:p w14:paraId="63EC592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Уклонение</w:t>
            </w:r>
          </w:p>
        </w:tc>
        <w:tc>
          <w:tcPr>
            <w:tcW w:w="6463" w:type="dxa"/>
          </w:tcPr>
          <w:p w14:paraId="7D25D49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Секреты только на сервере (env, Vault), шифрование токенов AES-GCM, gitleaks в CI</w:t>
            </w:r>
          </w:p>
        </w:tc>
      </w:tr>
      <w:tr w:rsidR="000F1C40" w14:paraId="09DC8DE2" w14:textId="77777777">
        <w:trPr>
          <w:cantSplit/>
          <w:jc w:val="center"/>
        </w:trPr>
        <w:tc>
          <w:tcPr>
            <w:tcW w:w="680" w:type="dxa"/>
          </w:tcPr>
          <w:p w14:paraId="35508B9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R10</w:t>
            </w:r>
          </w:p>
        </w:tc>
        <w:tc>
          <w:tcPr>
            <w:tcW w:w="737" w:type="dxa"/>
          </w:tcPr>
          <w:p w14:paraId="6E075AC5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0,15</w:t>
            </w:r>
          </w:p>
        </w:tc>
        <w:tc>
          <w:tcPr>
            <w:tcW w:w="1474" w:type="dxa"/>
          </w:tcPr>
          <w:p w14:paraId="2B3225A3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Снижение</w:t>
            </w:r>
          </w:p>
        </w:tc>
        <w:tc>
          <w:tcPr>
            <w:tcW w:w="6463" w:type="dxa"/>
          </w:tcPr>
          <w:p w14:paraId="3DDAB19C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Кэш анализа в Redis по хэшу текста, раскладка elkjs в Web Worker, профилирование парсера</w:t>
            </w:r>
          </w:p>
        </w:tc>
      </w:tr>
      <w:tr w:rsidR="000F1C40" w14:paraId="3694A81D" w14:textId="77777777">
        <w:trPr>
          <w:cantSplit/>
          <w:jc w:val="center"/>
        </w:trPr>
        <w:tc>
          <w:tcPr>
            <w:tcW w:w="680" w:type="dxa"/>
          </w:tcPr>
          <w:p w14:paraId="6D3BD344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R13</w:t>
            </w:r>
          </w:p>
        </w:tc>
        <w:tc>
          <w:tcPr>
            <w:tcW w:w="737" w:type="dxa"/>
          </w:tcPr>
          <w:p w14:paraId="2B24D270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0,12</w:t>
            </w:r>
          </w:p>
        </w:tc>
        <w:tc>
          <w:tcPr>
            <w:tcW w:w="1474" w:type="dxa"/>
          </w:tcPr>
          <w:p w14:paraId="3EA9DA8B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Уклонение</w:t>
            </w:r>
          </w:p>
        </w:tc>
        <w:tc>
          <w:tcPr>
            <w:tcW w:w="6463" w:type="dxa"/>
          </w:tcPr>
          <w:p w14:paraId="1531E7C2" w14:textId="77777777" w:rsidR="000F1C40" w:rsidRDefault="003E354E">
            <w:pPr>
              <w:ind w:firstLine="0"/>
              <w:jc w:val="left"/>
            </w:pPr>
            <w:r>
              <w:rPr>
                <w:rFonts w:cs="Times New Roman"/>
                <w:sz w:val="22"/>
              </w:rPr>
              <w:t>Политика обработки ПДн, согласие при регистрации, минимизация состава данных (e-mail, хэш пароля)</w:t>
            </w:r>
          </w:p>
        </w:tc>
      </w:tr>
    </w:tbl>
    <w:p w14:paraId="00022194" w14:textId="77777777" w:rsidR="000F1C40" w:rsidRDefault="000F1C40"/>
    <w:p w14:paraId="6CCED15A" w14:textId="77777777" w:rsidR="000F1C40" w:rsidRDefault="003E354E">
      <w:r>
        <w:rPr>
          <w:rFonts w:cs="Times New Roman"/>
        </w:rPr>
        <w:t>Распределение стратегий: снижение – 6, уклонение – 4, передача – 1, принятие – 2. Резервом для принятых рисков R7 и R11 служит буферный спринт S12.</w:t>
      </w:r>
    </w:p>
    <w:p w14:paraId="55425871" w14:textId="77777777" w:rsidR="000F1C40" w:rsidRDefault="000F1C40">
      <w:pPr>
        <w:keepNext/>
      </w:pPr>
    </w:p>
    <w:p w14:paraId="6D47BA4B" w14:textId="77777777" w:rsidR="000F1C40" w:rsidRDefault="003E354E">
      <w:pPr>
        <w:pStyle w:val="21"/>
      </w:pPr>
      <w:bookmarkStart w:id="8" w:name="_Toc241307067"/>
      <w:r>
        <w:rPr>
          <w:rFonts w:ascii="Times New Roman" w:eastAsia="Times New Roman" w:hAnsi="Times New Roman" w:cs="Times New Roman"/>
        </w:rPr>
        <w:t>2.7 Количественная оценка и мониторинг</w:t>
      </w:r>
      <w:bookmarkEnd w:id="8"/>
    </w:p>
    <w:p w14:paraId="73C2C7E1" w14:textId="77777777" w:rsidR="000F1C40" w:rsidRDefault="000F1C40">
      <w:pPr>
        <w:keepNext/>
      </w:pPr>
    </w:p>
    <w:p w14:paraId="127AEDAA" w14:textId="77777777" w:rsidR="000F1C40" w:rsidRDefault="003E354E">
      <w:r>
        <w:rPr>
          <w:rFonts w:cs="Times New Roman"/>
        </w:rPr>
        <w:t>Для оценки общего уровня риска выполнено моделирование методом Монте-Карло (10 000 прогонов, риски независимы). Математическое ожидание числа наступивших рисков равно ΣP = 4,9; распределение приведено на рисунке 2.4.</w:t>
      </w:r>
    </w:p>
    <w:p w14:paraId="10FC4E07" w14:textId="77777777" w:rsidR="000F1C40" w:rsidRDefault="000F1C40">
      <w:pPr>
        <w:keepNext/>
      </w:pPr>
    </w:p>
    <w:p w14:paraId="3A4A3005" w14:textId="77777777" w:rsidR="000F1C40" w:rsidRDefault="003E354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0DBE2FA" wp14:editId="6E9F6FAD">
            <wp:extent cx="5040000" cy="26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нте-Карло - Nota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029D" w14:textId="77777777" w:rsidR="000F1C40" w:rsidRDefault="000F1C40">
      <w:pPr>
        <w:keepNext/>
      </w:pPr>
    </w:p>
    <w:p w14:paraId="4C6E0FDC" w14:textId="77777777" w:rsidR="000F1C40" w:rsidRDefault="003E354E">
      <w:pPr>
        <w:ind w:firstLine="0"/>
        <w:jc w:val="center"/>
      </w:pPr>
      <w:r>
        <w:rPr>
          <w:rFonts w:cs="Times New Roman"/>
        </w:rPr>
        <w:t>Рисунок 2.4 – Распределение числа наступивших рисков</w:t>
      </w:r>
    </w:p>
    <w:p w14:paraId="3563480F" w14:textId="77777777" w:rsidR="000F1C40" w:rsidRDefault="000F1C40"/>
    <w:p w14:paraId="3CD038D2" w14:textId="77777777" w:rsidR="000F1C40" w:rsidRDefault="003E354E">
      <w:r>
        <w:rPr>
          <w:rFonts w:cs="Times New Roman"/>
        </w:rPr>
        <w:t>Реестр рисков пересматривается на каждом Sprint Review: проверяется наступление триггеров, уточняются оценки P и I, фиксируются новые риски. Ранними индикаторами для рисков R1, R2 и R5 служат метрики потока: velocity, cycle time, WIP.</w:t>
      </w:r>
    </w:p>
    <w:p w14:paraId="1B20B42C" w14:textId="77777777" w:rsidR="000F1C40" w:rsidRDefault="003E354E">
      <w:pPr>
        <w:pStyle w:val="1"/>
        <w:pageBreakBefore/>
        <w:ind w:firstLine="0"/>
        <w:jc w:val="center"/>
      </w:pPr>
      <w:bookmarkStart w:id="9" w:name="_Toc241307068"/>
      <w:r>
        <w:rPr>
          <w:rFonts w:ascii="Times New Roman" w:eastAsia="Times New Roman" w:hAnsi="Times New Roman" w:cs="Times New Roman"/>
        </w:rPr>
        <w:lastRenderedPageBreak/>
        <w:t>ВЫВОДЫ</w:t>
      </w:r>
      <w:bookmarkEnd w:id="9"/>
    </w:p>
    <w:p w14:paraId="50ACB454" w14:textId="77777777" w:rsidR="000F1C40" w:rsidRDefault="000F1C40">
      <w:pPr>
        <w:keepNext/>
      </w:pPr>
    </w:p>
    <w:p w14:paraId="0C8EEB23" w14:textId="77777777" w:rsidR="000F1C40" w:rsidRDefault="003E354E">
      <w:r>
        <w:rPr>
          <w:rFonts w:cs="Times New Roman"/>
        </w:rPr>
        <w:t>Для проекта NotaCode идентифицировано 13 рисков шести категорий: планирование, организационные, технические, безопасность, внешние и правовые.</w:t>
      </w:r>
    </w:p>
    <w:p w14:paraId="61DF516A" w14:textId="77777777" w:rsidR="000F1C40" w:rsidRDefault="003E354E">
      <w:r>
        <w:rPr>
          <w:rFonts w:cs="Times New Roman"/>
        </w:rPr>
        <w:t>Качественная оценка выполнена в шаблоне «Карта рисков»: высокий приоритет имеет 1 риск, средний – 11, низкий – 1. Наиболее значимый риск R1 (H = 0,56) связан с объёмом распределённой архитектуры при одном исполнителе; он снижается поэтапным подключением сервисов и переносом требований Could have в Post-MVP.</w:t>
      </w:r>
    </w:p>
    <w:p w14:paraId="4F433616" w14:textId="77777777" w:rsidR="000F1C40" w:rsidRDefault="003E354E">
      <w:r>
        <w:rPr>
          <w:rFonts w:cs="Times New Roman"/>
        </w:rPr>
        <w:t>Для каждого риска определены стратегия реагирования и мероприятия; преобладает стратегия снижения. Построена карта рисков, реестр включён в процедуру Sprint Review. Заполнение шаблона автоматизировано макросом VBA (приложение А).</w:t>
      </w:r>
    </w:p>
    <w:p w14:paraId="607EB704" w14:textId="77777777" w:rsidR="000F1C40" w:rsidRDefault="003E354E">
      <w:pPr>
        <w:pStyle w:val="1"/>
        <w:pageBreakBefore/>
        <w:ind w:firstLine="0"/>
        <w:jc w:val="center"/>
      </w:pPr>
      <w:bookmarkStart w:id="10" w:name="_Toc241307069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0"/>
    </w:p>
    <w:p w14:paraId="78400A2A" w14:textId="77777777" w:rsidR="000F1C40" w:rsidRDefault="000F1C40">
      <w:pPr>
        <w:keepNext/>
      </w:pPr>
    </w:p>
    <w:p w14:paraId="4BD2D4CF" w14:textId="77777777" w:rsidR="000F1C40" w:rsidRDefault="003E354E">
      <w:r>
        <w:rPr>
          <w:rFonts w:cs="Times New Roman"/>
        </w:rPr>
        <w:t>[1] Руководство к своду знаний по управлению проектами (Руководство PMBOK®). – 6-е изд. – Newtown Square : Project Management Institute, 2017.</w:t>
      </w:r>
    </w:p>
    <w:p w14:paraId="723AE43C" w14:textId="77777777" w:rsidR="000F1C40" w:rsidRDefault="003E354E">
      <w:r>
        <w:rPr>
          <w:rFonts w:cs="Times New Roman"/>
        </w:rPr>
        <w:t>[2] Кашникова, И. В. Управление проектами : лекционные материалы и методические указания к практическим занятиям / И. В. Кашникова. – Минск : ИИТ БГУИР, 2026.</w:t>
      </w:r>
    </w:p>
    <w:p w14:paraId="5852C63C" w14:textId="77777777" w:rsidR="000F1C40" w:rsidRDefault="003E354E">
      <w:r>
        <w:rPr>
          <w:rFonts w:cs="Times New Roman"/>
        </w:rPr>
        <w:t>[3] NotaCode : проектная документация [Электронный ресурс]. – Режим доступа : https://github.com/KsushaKhadzhinova/NotaCode.</w:t>
      </w:r>
    </w:p>
    <w:p w14:paraId="7A8BD01F" w14:textId="77777777" w:rsidR="000F1C40" w:rsidRDefault="003E354E">
      <w:r>
        <w:rPr>
          <w:rFonts w:cs="Times New Roman"/>
        </w:rPr>
        <w:t>[4] Boehm, B. W. Software Risk Management: Principles and Practices / B. W. Boehm // IEEE Software. – 1991. – Vol. 8, № 1. – P. 32–41.</w:t>
      </w:r>
    </w:p>
    <w:p w14:paraId="60BC3DC8" w14:textId="77777777" w:rsidR="000F1C40" w:rsidRDefault="003E354E">
      <w:r>
        <w:rPr>
          <w:rFonts w:cs="Times New Roman"/>
        </w:rPr>
        <w:t>[5] ДеМарко, Т. Вальсируя с медведями: управление рисками в проектах по разработке программного обеспечения / Т. ДеМарко, Т. Листер. – М. : p.m.Office, 2005.</w:t>
      </w:r>
    </w:p>
    <w:p w14:paraId="309AF9B3" w14:textId="77777777" w:rsidR="000F1C40" w:rsidRDefault="003E354E">
      <w:r>
        <w:rPr>
          <w:rFonts w:cs="Times New Roman"/>
        </w:rPr>
        <w:t>[6] О защите персональных данных [Электронный ресурс] : Закон Респ. Беларусь от 7 мая 2021 г. № 99-З. – Режим доступа : https://pravo.by.</w:t>
      </w:r>
    </w:p>
    <w:p w14:paraId="446A0BEA" w14:textId="77777777" w:rsidR="000F1C40" w:rsidRDefault="003E354E">
      <w:pPr>
        <w:pStyle w:val="1"/>
        <w:pageBreakBefore/>
        <w:ind w:firstLine="0"/>
        <w:jc w:val="center"/>
      </w:pPr>
      <w:bookmarkStart w:id="11" w:name="_Toc241307070"/>
      <w:r>
        <w:rPr>
          <w:rFonts w:ascii="Times New Roman" w:eastAsia="Times New Roman" w:hAnsi="Times New Roman" w:cs="Times New Roman"/>
        </w:rPr>
        <w:lastRenderedPageBreak/>
        <w:t>ПРИЛОЖЕНИЕ А</w:t>
      </w:r>
      <w:r>
        <w:br/>
      </w:r>
      <w:r>
        <w:rPr>
          <w:rFonts w:ascii="Times New Roman" w:eastAsia="Times New Roman" w:hAnsi="Times New Roman" w:cs="Times New Roman"/>
        </w:rPr>
        <w:t>(обязательное)</w:t>
      </w:r>
      <w:r>
        <w:br/>
      </w:r>
      <w:r>
        <w:rPr>
          <w:rFonts w:ascii="Times New Roman" w:eastAsia="Times New Roman" w:hAnsi="Times New Roman" w:cs="Times New Roman"/>
        </w:rPr>
        <w:t>Листинг макроса VBA заполнения реестра и карты рисков</w:t>
      </w:r>
      <w:bookmarkEnd w:id="11"/>
    </w:p>
    <w:p w14:paraId="3357D937" w14:textId="77777777" w:rsidR="000F1C40" w:rsidRDefault="000F1C40">
      <w:pPr>
        <w:keepNext/>
      </w:pPr>
    </w:p>
    <w:p w14:paraId="4C34D83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Attribute VB_Name = "PZ3_NotaCode"</w:t>
      </w:r>
    </w:p>
    <w:p w14:paraId="2257898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=====================================================================</w:t>
      </w:r>
    </w:p>
    <w:p w14:paraId="1343C7D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ПЗ3. Реестр и карта рисков — NotaCode</w:t>
      </w:r>
    </w:p>
    <w:p w14:paraId="2A55C3F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Файл-шаблон: "Карта рисков в Excel_с форматированием -26.xlsx"</w:t>
      </w:r>
    </w:p>
    <w:p w14:paraId="374AC9A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</w:t>
      </w:r>
    </w:p>
    <w:p w14:paraId="4B278C2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Как запустить:</w:t>
      </w:r>
    </w:p>
    <w:p w14:paraId="47385E4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1. Открыть шаблон, сохранить копию как .xlsm.</w:t>
      </w:r>
    </w:p>
    <w:p w14:paraId="5885A6C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2. Alt+F11 -&gt; File -&gt; Import File... -&gt; ПЗ3_NotaCode_Risks.bas (кодировка Windows-1251).</w:t>
      </w:r>
    </w:p>
    <w:p w14:paraId="1A5C0A1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3. Alt+F8 -&gt; PZ3_RunAll -&gt; Выполнить.</w:t>
      </w:r>
    </w:p>
    <w:p w14:paraId="57FC007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</w:t>
      </w:r>
    </w:p>
    <w:p w14:paraId="79AB264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Что делает макрос:</w:t>
      </w:r>
    </w:p>
    <w:p w14:paraId="35E8697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"Таблица с рисками": название проекта (C1), 13 рисков в Таблица1</w:t>
      </w:r>
    </w:p>
    <w:p w14:paraId="3022642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(наименование, влияние, триггер, P, I, мероприятия), H = P*I — формула шаблона;</w:t>
      </w:r>
    </w:p>
    <w:p w14:paraId="3268096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столбец J «Приоритет» (пороги 0,505 и 0,14), столбец K «Стратегия»,</w:t>
      </w:r>
    </w:p>
    <w:p w14:paraId="5C3E605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условное форматирование H (красный/жёлтый/зелёный); удаляет образцы преподавателя (строки 41–68);</w:t>
      </w:r>
    </w:p>
    <w:p w14:paraId="6003610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"Карта рисков": точечная диаграмма шаблона перенастраивается на 13 рисков,</w:t>
      </w:r>
    </w:p>
    <w:p w14:paraId="7CADCE1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подписи точек R1…R13 берутся из столбца B;</w:t>
      </w:r>
    </w:p>
    <w:p w14:paraId="32C90B7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новый лист "Ранжирование": риски по убыванию H;</w:t>
      </w:r>
    </w:p>
    <w:p w14:paraId="65C8F73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новый лист "Тепловая матрица": 5x5 по шкалам шаблона 1–5 с номерами рисков.</w:t>
      </w:r>
    </w:p>
    <w:p w14:paraId="69C1F5C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=====================================================================</w:t>
      </w:r>
    </w:p>
    <w:p w14:paraId="50FE3DC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Option Explicit</w:t>
      </w:r>
    </w:p>
    <w:p w14:paraId="4495433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D3FED0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Const N As Long = 13</w:t>
      </w:r>
    </w:p>
    <w:p w14:paraId="08759FF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Const HIGH_T As Double = 0.505</w:t>
      </w:r>
    </w:p>
    <w:p w14:paraId="23862F2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Const LOW_T As Double = 0.14</w:t>
      </w:r>
    </w:p>
    <w:p w14:paraId="6DCAD68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Const PROJECT As String = "NotaCode — веб-IDE «diagram as code»"</w:t>
      </w:r>
    </w:p>
    <w:p w14:paraId="19942B0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4441B8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rName(1 To N) As String, rImpact(1 To N) As String, rTrig(1 To N) As String</w:t>
      </w:r>
    </w:p>
    <w:p w14:paraId="23E14F1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rP(1 To N) As Double, rI(1 To N) As Double, rStrat(1 To N) As String, rAct(1 To N) As String</w:t>
      </w:r>
    </w:p>
    <w:p w14:paraId="15A48DB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4DD3CD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R(k As Long, nm As String, imp As String, trg As String, pp As Double, ii As Double, st As String, act As String)</w:t>
      </w:r>
    </w:p>
    <w:p w14:paraId="1674912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rName(k) = nm: rImpact(k) = imp: rTrig(k) = trg: rP(k) = pp: rI(k) = ii: rStrat(k) = st: rAct(k) = act</w:t>
      </w:r>
    </w:p>
    <w:p w14:paraId="10F2293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3524E45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359065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LoadRisks()</w:t>
      </w:r>
    </w:p>
    <w:p w14:paraId="695539E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1, "Объём распределённой архитектуры (7 сервисов) превышает ресурсы одного исполнителя", _</w:t>
      </w:r>
    </w:p>
    <w:p w14:paraId="059B4E4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"Срыв MVP к 13.12.2026, неполная демонстрация на защите", "Velocity ниже плана два спринта подряд", 0.7, 0.8, "Снижение", _</w:t>
      </w:r>
    </w:p>
    <w:p w14:paraId="3215C65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"Walking skeleton в S0, поэтапное подключение сервисов, перенос Could have в Post-MVP"</w:t>
      </w:r>
    </w:p>
    <w:p w14:paraId="0866D05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2, "Вытеснение продуктовых задач лабораторными работами ч. 2 (8 ЛР, 4 ПЗ)", _</w:t>
      </w:r>
    </w:p>
    <w:p w14:paraId="6B52B60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"Сдвиг спринтов продукта, накопление долга по MVP", "Лабораторная работа занимает более одного спринта", 0.6, 0.6, "Снижение", _</w:t>
      </w:r>
    </w:p>
    <w:p w14:paraId="5F1DF50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"ЛР реализуется как компонент продукта (Gateway, Web IDE); дорожка Expedite с WIP = 1"</w:t>
      </w:r>
    </w:p>
    <w:p w14:paraId="1B4DAFF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R 3, "Расхождение грамматики DSL и профилей нотаций", _</w:t>
      </w:r>
    </w:p>
    <w:p w14:paraId="0E634BF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"Ошибки HTTP 500, ложная валидация, несовместимые синтаксисы", "Падение контрактных тестов каталога нотаций", 0.4, 0.7, "Уклонение", _</w:t>
      </w:r>
    </w:p>
    <w:p w14:paraId="12667BB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"Единый каталог нотаций в packages/contracts; генерация подсветки, шаблонов и промптов из каталога"</w:t>
      </w:r>
    </w:p>
    <w:p w14:paraId="00A57A7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4, "Хранимая XSS-уязвимость через подписи узлов в SVG", _</w:t>
      </w:r>
    </w:p>
    <w:p w14:paraId="675816A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"Компрометация сессий пользователей, утечка данных", "Замечание аудита безопасности, срабатывание CSP", 0.3, 0.9, "Уклонение", _</w:t>
      </w:r>
    </w:p>
    <w:p w14:paraId="3969BBF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"Экранирование подписей, санитизация SVG (DOMPurify), политика CSP"</w:t>
      </w:r>
    </w:p>
    <w:p w14:paraId="285CD9F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5, "Требования 100 % покрытия и отсутствия комментариев замедляют разработку", _</w:t>
      </w:r>
    </w:p>
    <w:p w14:paraId="0D23579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"Рост трудоёмкости задач на 20–30 %", "Блокировка слияния конвейером CI более двух дней", 0.5, 0.5, "Снижение", _</w:t>
      </w:r>
    </w:p>
    <w:p w14:paraId="1FE2FFF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"TDD с первого спринта, чистое доменное ядро, моки портов, линтер-правило запрета комментариев"</w:t>
      </w:r>
    </w:p>
    <w:p w14:paraId="62815EB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6, "Отказ в согласовании Python-сервисов при рекомендованном стеке Node.js", _</w:t>
      </w:r>
    </w:p>
    <w:p w14:paraId="181CA6F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"Перенос Language и Workspace Service на Node.js, сдвиг MVP на 2–3 спринта", "Замечание руководителя по разделу 2.1 записки", 0.3, 0.8, "Снижение", _</w:t>
      </w:r>
    </w:p>
    <w:p w14:paraId="1E3D586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"Обоснование выбора в разделе 2.1, согласование в спринте S1; Gateway на Node.js закрывает ЛР1–ЛР8"</w:t>
      </w:r>
    </w:p>
    <w:p w14:paraId="3275FE2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7, "Перегрузка или болезнь единственного исполнителя", _</w:t>
      </w:r>
    </w:p>
    <w:p w14:paraId="73A3EC9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"Остановка всех работ проекта", "Невыполнение цели спринта по причинам вне проекта", 0.3, 0.8, "Принятие", _</w:t>
      </w:r>
    </w:p>
    <w:p w14:paraId="72B94A0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"Буферный спринт S12, документация и ADR в репозитории, автоматизация рутинных задач"</w:t>
      </w:r>
    </w:p>
    <w:p w14:paraId="495AE13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8, "Изменение или отмена бесплатных лимитов LLM API", _</w:t>
      </w:r>
    </w:p>
    <w:p w14:paraId="3E7EC4A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"AI-ассистент доступен только в режиме заглушки", "Ответы HTTP 429, отзыв ключа, закрытие сервиса", 0.5, 0.4, "Снижение", _</w:t>
      </w:r>
    </w:p>
    <w:p w14:paraId="204A69E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"Адаптеры нескольких провайдеров (Gemini, Groq, OpenRouter, Mistral), заглушка по умолчанию, Ollama"</w:t>
      </w:r>
    </w:p>
    <w:p w14:paraId="61CD575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9, "Изменение бесплатных тарифов хостинга (Render, Neon, CloudAMQP, Upstash)", _</w:t>
      </w:r>
    </w:p>
    <w:p w14:paraId="1D9DC7E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"Недоступность демо-стенда на защите", "Уведомление провайдера, превышение лимита", 0.3, 0.7, "Передача", _</w:t>
      </w:r>
    </w:p>
    <w:p w14:paraId="490AD47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"Резервный провайдер (Fly.io), локальный стенд docker compose для демонстрации"</w:t>
      </w:r>
    </w:p>
    <w:p w14:paraId="3F84BFA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10, "Время Run превышает 300 мс для диаграммы из 200 узлов", _</w:t>
      </w:r>
    </w:p>
    <w:p w14:paraId="62B84F6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"Невыполнение NFR производительности", "Результаты нагрузочного теста анализа", 0.3, 0.5, "Снижение", _</w:t>
      </w:r>
    </w:p>
    <w:p w14:paraId="53CA893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"Кэш анализа в Redis по хэшу текста, elkjs в Web Worker, профилирование парсера"</w:t>
      </w:r>
    </w:p>
    <w:p w14:paraId="1BFFE82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11, "Перенос даты защиты на более ранний срок", _</w:t>
      </w:r>
    </w:p>
    <w:p w14:paraId="437A688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"Сокращение объёма MVP", "Объявление расписания защиты", 0.3, 0.6, "Принятие", _</w:t>
      </w:r>
    </w:p>
    <w:p w14:paraId="4A08D1A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"Запрос даты у руководителя в S1, приоритизация MoSCoW, перенос Should have в Post-MVP"</w:t>
      </w:r>
    </w:p>
    <w:p w14:paraId="4F5F6F2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12, "Утечка API-ключей и OAuth-токенов", _</w:t>
      </w:r>
    </w:p>
    <w:p w14:paraId="1B38C8B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"Блокировка ключей, несанкционированные расходы, репутационный ущерб", "Срабатывание secret scanning GitHub", 0.2, 0.8, "Уклонение", _</w:t>
      </w:r>
    </w:p>
    <w:p w14:paraId="6C791D9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"Секреты только на сервере, шифрование токенов AES-GCM, gitleaks в CI"</w:t>
      </w:r>
    </w:p>
    <w:p w14:paraId="7D715FD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13, "Нарушение Закона РБ № 99-З при обработке персональных данных", _</w:t>
      </w:r>
    </w:p>
    <w:p w14:paraId="0177365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"Штраф, проверка НЦЗПД", "Запуск регистрации без политики обработки ПДн", 0.2, 0.6, "Уклонение", _</w:t>
      </w:r>
    </w:p>
    <w:p w14:paraId="556C831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"Политика обработки ПДн, согласие при регистрации, минимизация данных (e-mail, хэш пароля)"</w:t>
      </w:r>
    </w:p>
    <w:p w14:paraId="3EEE013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4BB27E7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9A9838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Level(h As Double) As String</w:t>
      </w:r>
    </w:p>
    <w:p w14:paraId="1726A62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h &gt;= HIGH_T Then</w:t>
      </w:r>
    </w:p>
    <w:p w14:paraId="40C1328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Level = "Высокий"</w:t>
      </w:r>
    </w:p>
    <w:p w14:paraId="4EBB873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ElseIf h &gt;= LOW_T Then</w:t>
      </w:r>
    </w:p>
    <w:p w14:paraId="0B3FD2C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Level = "Средний"</w:t>
      </w:r>
    </w:p>
    <w:p w14:paraId="2A84F44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Else</w:t>
      </w:r>
    </w:p>
    <w:p w14:paraId="499D250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Level = "Низкий"</w:t>
      </w:r>
    </w:p>
    <w:p w14:paraId="2CA295C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End If</w:t>
      </w:r>
    </w:p>
    <w:p w14:paraId="7459908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2B0B11B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2B4799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GetSheet(nameS As String) As Worksheet</w:t>
      </w:r>
    </w:p>
    <w:p w14:paraId="40A89DD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On Error Resume Next</w:t>
      </w:r>
    </w:p>
    <w:p w14:paraId="1FBB5B9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GetSheet = ThisWorkbook.Worksheets(nameS)</w:t>
      </w:r>
    </w:p>
    <w:p w14:paraId="71B511E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On Error GoTo 0</w:t>
      </w:r>
    </w:p>
    <w:p w14:paraId="4A7BF22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GetSheet Is Nothing Then</w:t>
      </w:r>
    </w:p>
    <w:p w14:paraId="1004AC8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 GetSheet = ThisWorkbook.Worksheets.Add(After:=ThisWorkbook.Worksheets(ThisWorkbook.Worksheets.Count))</w:t>
      </w:r>
    </w:p>
    <w:p w14:paraId="1E5BE7B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GetSheet.Name = nameS</w:t>
      </w:r>
    </w:p>
    <w:p w14:paraId="46D589E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End If</w:t>
      </w:r>
    </w:p>
    <w:p w14:paraId="09178F9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67ECBB0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FCF91D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FillRiskTable()</w:t>
      </w:r>
    </w:p>
    <w:p w14:paraId="591BF6C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lo As ListObject, k As Long, rr As Long, fc As FormatCondition</w:t>
      </w:r>
    </w:p>
    <w:p w14:paraId="20D7C16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ThisWorkbook.Worksheets("Таблица с рисками")</w:t>
      </w:r>
    </w:p>
    <w:p w14:paraId="10238FB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ws.Range("C1").Value = PROJECT</w:t>
      </w:r>
    </w:p>
    <w:p w14:paraId="3F4C5C2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lo = ws.ListObjects(1)</w:t>
      </w:r>
    </w:p>
    <w:p w14:paraId="6F774E3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образцы преподавателя ниже таблицы шкал удаляются, шкалы (строки 27–34) сохраняются</w:t>
      </w:r>
    </w:p>
    <w:p w14:paraId="4F010B0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ws.Range("A41:K68").Clear</w:t>
      </w:r>
    </w:p>
    <w:p w14:paraId="761093B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lo.DataBodyRange.Columns(3).ClearContents</w:t>
      </w:r>
    </w:p>
    <w:p w14:paraId="74FF7F3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lo.DataBodyRange.Columns(4).ClearContents</w:t>
      </w:r>
    </w:p>
    <w:p w14:paraId="08C1240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lo.DataBodyRange.Columns(5).ClearContents</w:t>
      </w:r>
    </w:p>
    <w:p w14:paraId="748EC99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lo.DataBodyRange.Columns(6).ClearContents</w:t>
      </w:r>
    </w:p>
    <w:p w14:paraId="24D7E15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lo.DataBodyRange.Columns(7).ClearContents</w:t>
      </w:r>
    </w:p>
    <w:p w14:paraId="08EDD2C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lo.DataBodyRange.Columns(9).ClearContents</w:t>
      </w:r>
    </w:p>
    <w:p w14:paraId="26BAF66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1 To N</w:t>
      </w:r>
    </w:p>
    <w:p w14:paraId="6D8BA16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rr = lo.HeaderRowRange.Row + k</w:t>
      </w:r>
    </w:p>
    <w:p w14:paraId="20BC2AB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1).Value = k</w:t>
      </w:r>
    </w:p>
    <w:p w14:paraId="6DC0563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3).Value = rName(k)</w:t>
      </w:r>
    </w:p>
    <w:p w14:paraId="06B8A01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4).Value = rImpact(k)</w:t>
      </w:r>
    </w:p>
    <w:p w14:paraId="73E1CAF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5).Value = rTrig(k)</w:t>
      </w:r>
    </w:p>
    <w:p w14:paraId="3833A22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6).Value = rP(k)</w:t>
      </w:r>
    </w:p>
    <w:p w14:paraId="2FE0459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7).Value = rI(k)</w:t>
      </w:r>
    </w:p>
    <w:p w14:paraId="49D9F3F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9).Value = rStrat(k) &amp; ": " &amp; rAct(k)</w:t>
      </w:r>
    </w:p>
    <w:p w14:paraId="4971233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k</w:t>
      </w:r>
    </w:p>
    <w:p w14:paraId="1461090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таблица сокращается до 13 строк: строки 17–23 освобождаются</w:t>
      </w:r>
    </w:p>
    <w:p w14:paraId="69A49B7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lo.Resize ws.Range(lo.HeaderRowRange.Cells(1, 1), ws.Cells(lo.HeaderRowRange.Row + N, lo.HeaderRowRange.Column + 8))</w:t>
      </w:r>
    </w:p>
    <w:p w14:paraId="6AED5EC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ws.Range(ws.Cells(lo.HeaderRowRange.Row + N + 1, 1), ws.Cells(23, 9)).Clear</w:t>
      </w:r>
    </w:p>
    <w:p w14:paraId="2F5AC34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дополнительные столбцы</w:t>
      </w:r>
    </w:p>
    <w:p w14:paraId="480153E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ws.Cells(lo.HeaderRowRange.Row, 10).Value = "Приоритет"</w:t>
      </w:r>
    </w:p>
    <w:p w14:paraId="75FD979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ws.Cells(lo.HeaderRowRange.Row, 11).Value = "Стратегия"</w:t>
      </w:r>
    </w:p>
    <w:p w14:paraId="1CAD7CA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1 To N</w:t>
      </w:r>
    </w:p>
    <w:p w14:paraId="46941C2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rr = lo.HeaderRowRange.Row + k</w:t>
      </w:r>
    </w:p>
    <w:p w14:paraId="3B0936A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10).FormulaR1C1 = "=IF(RC8&gt;=" &amp; Replace(CStr(HIGH_T), ",", ".") &amp; ",""Высокий"",IF(RC8&gt;=" &amp; _</w:t>
      </w:r>
    </w:p>
    <w:p w14:paraId="6B824B6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Replace(CStr(LOW_T), ",", ".") &amp; ",""Средний"",""Низкий""))"</w:t>
      </w:r>
    </w:p>
    <w:p w14:paraId="0093AB1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ws.Cells(rr, 11).Value = rStrat(k)</w:t>
      </w:r>
    </w:p>
    <w:p w14:paraId="3C17C18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k</w:t>
      </w:r>
    </w:p>
    <w:p w14:paraId="766799D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пороги в служебных ячейках M1:M3 — условия форматирования не зависят от языка Excel</w:t>
      </w:r>
    </w:p>
    <w:p w14:paraId="7F862EA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ws.Range("M1").Value = HIGH_T: ws.Range("M2").Value = LOW_T: ws.Range("M3").Value = HIGH_T - 0.0001</w:t>
      </w:r>
    </w:p>
    <w:p w14:paraId="59B8198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ws.Range("L1").Value = "Пороги:"</w:t>
      </w:r>
    </w:p>
    <w:p w14:paraId="06B822B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With ws.Range(ws.Cells(lo.HeaderRowRange.Row + 1, 8), ws.Cells(lo.HeaderRowRange.Row + N, 8))</w:t>
      </w:r>
    </w:p>
    <w:p w14:paraId="6117A13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.FormatConditions.Delete</w:t>
      </w:r>
    </w:p>
    <w:p w14:paraId="628F93D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 fc = .FormatConditions.Add(xlCellValue, xlGreaterEqual, "=$M$1")</w:t>
      </w:r>
    </w:p>
    <w:p w14:paraId="3926898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fc.Interior.Color = RGB(248, 203, 173)</w:t>
      </w:r>
    </w:p>
    <w:p w14:paraId="1677AAC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 fc = .FormatConditions.Add(xlCellValue, xlBetween, "=$M$2", "=$M$3")</w:t>
      </w:r>
    </w:p>
    <w:p w14:paraId="07DF9C3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fc.Interior.Color = RGB(255, 242, 204)</w:t>
      </w:r>
    </w:p>
    <w:p w14:paraId="2878B07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 fc = .FormatConditions.Add(xlCellValue, xlLess, "=$M$2")</w:t>
      </w:r>
    </w:p>
    <w:p w14:paraId="3917825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fc.Interior.Color = RGB(226, 239, 217)</w:t>
      </w:r>
    </w:p>
    <w:p w14:paraId="55EF9EF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End With</w:t>
      </w:r>
    </w:p>
    <w:p w14:paraId="64B24A6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ws.Range(ws.Cells(lo.HeaderRowRange.Row, 10), ws.Cells(lo.HeaderRowRange.Row + N, 11)).Borders.LineStyle = xlContinuous</w:t>
      </w:r>
    </w:p>
    <w:p w14:paraId="26DC9DF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ws.Range(ws.Cells(lo.HeaderRowRange.Row, 10), ws.Cells(lo.HeaderRowRange.Row, 11)).Font.Bold = True</w:t>
      </w:r>
    </w:p>
    <w:p w14:paraId="78A4088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ws.Columns("J:K").ColumnWidth = 14</w:t>
      </w:r>
    </w:p>
    <w:p w14:paraId="47E91FE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5579C58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B9C638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UpdateChart()</w:t>
      </w:r>
    </w:p>
    <w:p w14:paraId="79A2F97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co As ChartObject, s As Series, k As Long, firstRow As Long, lastRow As Long</w:t>
      </w:r>
    </w:p>
    <w:p w14:paraId="7C488E9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src As Worksheet</w:t>
      </w:r>
    </w:p>
    <w:p w14:paraId="0692FA3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src = ThisWorkbook.Worksheets("Таблица с рисками")</w:t>
      </w:r>
    </w:p>
    <w:p w14:paraId="4F95F53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firstRow = src.ListObjects(1).HeaderRowRange.Row + 1</w:t>
      </w:r>
    </w:p>
    <w:p w14:paraId="46ECDB4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lastRow = firstRow + N - 1</w:t>
      </w:r>
    </w:p>
    <w:p w14:paraId="07A60C2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ThisWorkbook.Worksheets("Карта рисков")</w:t>
      </w:r>
    </w:p>
    <w:p w14:paraId="082C7B8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ws.Range("K5:K9").ClearContents</w:t>
      </w:r>
    </w:p>
    <w:p w14:paraId="2D8B913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ws.ChartObjects.Count = 0 Then</w:t>
      </w:r>
    </w:p>
    <w:p w14:paraId="5E4F5E3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 co = ws.ChartObjects.Add(20, 40, 520, 420)</w:t>
      </w:r>
    </w:p>
    <w:p w14:paraId="25DD953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co.Chart.ChartType = xlXYScatter</w:t>
      </w:r>
    </w:p>
    <w:p w14:paraId="40B2D5F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co.Chart.SeriesCollection.NewSeries</w:t>
      </w:r>
    </w:p>
    <w:p w14:paraId="27C672C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End If</w:t>
      </w:r>
    </w:p>
    <w:p w14:paraId="032D987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co = ws.ChartObjects(1)</w:t>
      </w:r>
    </w:p>
    <w:p w14:paraId="073F60E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s = co.Chart.SeriesCollection(1)</w:t>
      </w:r>
    </w:p>
    <w:p w14:paraId="25755CE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s.XValues = src.Range(src.Cells(firstRow, 6), src.Cells(lastRow, 6))</w:t>
      </w:r>
    </w:p>
    <w:p w14:paraId="227AED3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s.Values = src.Range(src.Cells(firstRow, 7), src.Cells(lastRow, 7))</w:t>
      </w:r>
    </w:p>
    <w:p w14:paraId="60EB54F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s.Name = "Риски"</w:t>
      </w:r>
    </w:p>
    <w:p w14:paraId="3F27AB9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s.HasDataLabels = True</w:t>
      </w:r>
    </w:p>
    <w:p w14:paraId="6FED800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1 To N</w:t>
      </w:r>
    </w:p>
    <w:p w14:paraId="0555D97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s.Points(k).DataLabel.Text = "R" &amp; k</w:t>
      </w:r>
    </w:p>
    <w:p w14:paraId="4984C8B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k</w:t>
      </w:r>
    </w:p>
    <w:p w14:paraId="061481C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With co.Chart</w:t>
      </w:r>
    </w:p>
    <w:p w14:paraId="5BC26CD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.HasTitle = True</w:t>
      </w:r>
    </w:p>
    <w:p w14:paraId="4CD6D9A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.ChartTitle.Text = "Карта рисков для проекта " &amp; PROJECT</w:t>
      </w:r>
    </w:p>
    <w:p w14:paraId="6969FD6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.Axes(xlCategory).MinimumScale = 0: .Axes(xlCategory).MaximumScale = 1</w:t>
      </w:r>
    </w:p>
    <w:p w14:paraId="222AD7F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.Axes(xlValue).MinimumScale = 0: .Axes(xlValue).MaximumScale = 1</w:t>
      </w:r>
    </w:p>
    <w:p w14:paraId="60AC1B7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.Axes(xlCategory).HasTitle = True</w:t>
      </w:r>
    </w:p>
    <w:p w14:paraId="45A74E7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.Axes(xlCategory).AxisTitle.Text = "Оценка вероятности возникновения риска"</w:t>
      </w:r>
    </w:p>
    <w:p w14:paraId="3E79428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.Axes(xlValue).HasTitle = True</w:t>
      </w:r>
    </w:p>
    <w:p w14:paraId="4CFB24F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.Axes(xlValue).AxisTitle.Text = "Оценка силы воздействия риска"</w:t>
      </w:r>
    </w:p>
    <w:p w14:paraId="59C505D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End With</w:t>
      </w:r>
    </w:p>
    <w:p w14:paraId="767E169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5E34B67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74965A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BuildRanking()</w:t>
      </w:r>
    </w:p>
    <w:p w14:paraId="45CC75E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k As Long, j As Long, idx(1 To N) As Long, t As Long, h(1 To N) As Double</w:t>
      </w:r>
    </w:p>
    <w:p w14:paraId="4FD4036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GetSheet("Ранжирование")</w:t>
      </w:r>
    </w:p>
    <w:p w14:paraId="139329C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ws.Cells.Clear</w:t>
      </w:r>
    </w:p>
    <w:p w14:paraId="0FB6D3A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1 To N: idx(k) = k: h(k) = rP(k) * rI(k): Next k</w:t>
      </w:r>
    </w:p>
    <w:p w14:paraId="73E3242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1 To N - 1</w:t>
      </w:r>
    </w:p>
    <w:p w14:paraId="6BEFE97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For j = k + 1 To N</w:t>
      </w:r>
    </w:p>
    <w:p w14:paraId="6DDCD56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If h(idx(j)) &gt; h(idx(k)) Then t = idx(k): idx(k) = idx(j): idx(j) = t</w:t>
      </w:r>
    </w:p>
    <w:p w14:paraId="4BF3691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Next j</w:t>
      </w:r>
    </w:p>
    <w:p w14:paraId="5412A83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k</w:t>
      </w:r>
    </w:p>
    <w:p w14:paraId="6ACCF7B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ws.Range("A1").Value = "Ранжирование рисков по H = P x I — " &amp; PROJECT</w:t>
      </w:r>
    </w:p>
    <w:p w14:paraId="5446F85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ws.Range("A1").Font.Bold = True</w:t>
      </w:r>
    </w:p>
    <w:p w14:paraId="41B341D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ws.Range("A3:H3").Value = Array("Ранг", "№", "Риск", "P", "I", "H", "Приоритет", "Стратегия")</w:t>
      </w:r>
    </w:p>
    <w:p w14:paraId="14F162B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1 To N</w:t>
      </w:r>
    </w:p>
    <w:p w14:paraId="0B65EF1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1).Value = k</w:t>
      </w:r>
    </w:p>
    <w:p w14:paraId="6092E81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2).Value = "R" &amp; idx(k)</w:t>
      </w:r>
    </w:p>
    <w:p w14:paraId="7EDE181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3).Value = rName(idx(k))</w:t>
      </w:r>
    </w:p>
    <w:p w14:paraId="294FEA0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4).Value = rP(idx(k))</w:t>
      </w:r>
    </w:p>
    <w:p w14:paraId="79D0D75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5).Value = rI(idx(k))</w:t>
      </w:r>
    </w:p>
    <w:p w14:paraId="5BE2208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6).FormulaR1C1 = "=RC4*RC5"</w:t>
      </w:r>
    </w:p>
    <w:p w14:paraId="0D07126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7).Value = Level(h(idx(k)))</w:t>
      </w:r>
    </w:p>
    <w:p w14:paraId="6359725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 + k, 8).Value = rStrat(idx(k))</w:t>
      </w:r>
    </w:p>
    <w:p w14:paraId="7985A3D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k</w:t>
      </w:r>
    </w:p>
    <w:p w14:paraId="16EC511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ws.Range("A3:H3").Font.Bold = True</w:t>
      </w:r>
    </w:p>
    <w:p w14:paraId="02EED5B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ws.Range("A3:H" &amp; 3 + N).Borders.LineStyle = xlContinuous</w:t>
      </w:r>
    </w:p>
    <w:p w14:paraId="1F898D79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ws.Cells(5 + N, 3).Value = "Высокий: H &gt;= 0,505; средний: 0,14 &lt;= H &lt; 0,505; низкий: H &lt; 0,14"</w:t>
      </w:r>
    </w:p>
    <w:p w14:paraId="7B05131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ws.Cells(6 + N, 3).Value = "Высокий — " &amp; Application.WorksheetFunction.CountIf(ws.Range("G4:G" &amp; 3 + N), "Высокий") &amp; _</w:t>
      </w:r>
    </w:p>
    <w:p w14:paraId="0CB9D8F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", средний — " &amp; Application.WorksheetFunction.CountIf(ws.Range("G4:G" &amp; 3 + N), "Средний") &amp; _</w:t>
      </w:r>
    </w:p>
    <w:p w14:paraId="50C5F29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", низкий — " &amp; Application.WorksheetFunction.CountIf(ws.Range("G4:G" &amp; 3 + N), "Низкий")</w:t>
      </w:r>
    </w:p>
    <w:p w14:paraId="54F984A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ws.Columns("C").ColumnWidth = 70</w:t>
      </w:r>
    </w:p>
    <w:p w14:paraId="0362815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7508A07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7003E4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To5(x As Double) As Long</w:t>
      </w:r>
    </w:p>
    <w:p w14:paraId="0F63312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To5 = CLng(Int(x * 5 + 0.5 + 0.000001))</w:t>
      </w:r>
    </w:p>
    <w:p w14:paraId="6B61271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To5 &lt; 1 Then To5 = 1</w:t>
      </w:r>
    </w:p>
    <w:p w14:paraId="0926791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To5 &gt; 5 Then To5 = 5</w:t>
      </w:r>
    </w:p>
    <w:p w14:paraId="24008DC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444BA8A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592636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BuildHeatMatrix()</w:t>
      </w:r>
    </w:p>
    <w:p w14:paraId="7BFBC0C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pp As Long, ii As Long, k As Long, txt As String, v As Long</w:t>
      </w:r>
    </w:p>
    <w:p w14:paraId="042071A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GetSheet("Тепловая матрица")</w:t>
      </w:r>
    </w:p>
    <w:p w14:paraId="6BB422C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ws.Cells.Clear</w:t>
      </w:r>
    </w:p>
    <w:p w14:paraId="78A603D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ws.Range("A1").Value = "Тепловая матрица 5x5 (приоритет = вероятность x воздействие по шкалам шаблона 1–5)"</w:t>
      </w:r>
    </w:p>
    <w:p w14:paraId="13EEB5D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ws.Range("A1").Font.Bold = True</w:t>
      </w:r>
    </w:p>
    <w:p w14:paraId="47C1AA8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pp = 1 To 5</w:t>
      </w:r>
    </w:p>
    <w:p w14:paraId="6BB7DF3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ws.Cells(9, 2 + pp).Value = pp</w:t>
      </w:r>
    </w:p>
    <w:p w14:paraId="07FA7F6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ii = 1 To 5</w:t>
      </w:r>
    </w:p>
    <w:p w14:paraId="2FF7084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ws.Cells(9 - ii, 2).Value = ii</w:t>
      </w:r>
    </w:p>
    <w:p w14:paraId="3304A46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v = pp * ii</w:t>
      </w:r>
    </w:p>
    <w:p w14:paraId="5423770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txt = CStr(v)</w:t>
      </w:r>
    </w:p>
    <w:p w14:paraId="6F9B2F0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For k = 1 To N</w:t>
      </w:r>
    </w:p>
    <w:p w14:paraId="2F68CCD5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If To5(rP(k)) = pp And To5(rI(k)) = ii Then txt = txt &amp; vbLf &amp; "R" &amp; k</w:t>
      </w:r>
    </w:p>
    <w:p w14:paraId="6286C96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Next k</w:t>
      </w:r>
    </w:p>
    <w:p w14:paraId="67E8DC2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With ws.Cells(9 - ii, 2 + pp)</w:t>
      </w:r>
    </w:p>
    <w:p w14:paraId="6B52309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.Value = txt</w:t>
      </w:r>
    </w:p>
    <w:p w14:paraId="4B1FC13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.WrapText = True</w:t>
      </w:r>
    </w:p>
    <w:p w14:paraId="1C442E3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.HorizontalAlignment = xlCenter</w:t>
      </w:r>
    </w:p>
    <w:p w14:paraId="7EAE395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.VerticalAlignment = xlCenter</w:t>
      </w:r>
    </w:p>
    <w:p w14:paraId="7CDAA96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    If v &gt;= 15 Then</w:t>
      </w:r>
    </w:p>
    <w:p w14:paraId="6BA0C1E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.Interior.Color = RGB(248, 105, 107)</w:t>
      </w:r>
    </w:p>
    <w:p w14:paraId="113CC39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ElseIf v &gt;= 8 Then</w:t>
      </w:r>
    </w:p>
    <w:p w14:paraId="63295D7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.Interior.Color = RGB(255, 235, 132)</w:t>
      </w:r>
    </w:p>
    <w:p w14:paraId="44F45D2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Else</w:t>
      </w:r>
    </w:p>
    <w:p w14:paraId="6DA570DC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.Interior.Color = RGB(99, 190, 123)</w:t>
      </w:r>
    </w:p>
    <w:p w14:paraId="7EE798C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End If</w:t>
      </w:r>
    </w:p>
    <w:p w14:paraId="15DC5FF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End With</w:t>
      </w:r>
    </w:p>
    <w:p w14:paraId="425A223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Next ii</w:t>
      </w:r>
    </w:p>
    <w:p w14:paraId="16DFFE5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pp</w:t>
      </w:r>
    </w:p>
    <w:p w14:paraId="2A2C047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ws.Range("A4").Value = "Воздействие"</w:t>
      </w:r>
    </w:p>
    <w:p w14:paraId="75B485BF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ws.Range("E10").Value = "Вероятность"</w:t>
      </w:r>
    </w:p>
    <w:p w14:paraId="297BF0E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ws.Range("C4:G8").Borders.LineStyle = xlContinuous</w:t>
      </w:r>
    </w:p>
    <w:p w14:paraId="12D52217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ws.Rows("4:8").RowHeight = 48</w:t>
      </w:r>
    </w:p>
    <w:p w14:paraId="158975D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ws.Columns("C:G").ColumnWidth = 14</w:t>
      </w:r>
    </w:p>
    <w:p w14:paraId="557B914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008028A8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FA477C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Public Sub PZ3_RunAll()</w:t>
      </w:r>
    </w:p>
    <w:p w14:paraId="73947A84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Application.ScreenUpdating = False</w:t>
      </w:r>
    </w:p>
    <w:p w14:paraId="222D021B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LoadRisks</w:t>
      </w:r>
    </w:p>
    <w:p w14:paraId="33B68BDE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FillRiskTable</w:t>
      </w:r>
    </w:p>
    <w:p w14:paraId="7D20971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Application.Calculate</w:t>
      </w:r>
    </w:p>
    <w:p w14:paraId="66524113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UpdateChart</w:t>
      </w:r>
    </w:p>
    <w:p w14:paraId="7C975462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BuildRanking</w:t>
      </w:r>
    </w:p>
    <w:p w14:paraId="548D35AD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BuildHeatMatrix</w:t>
      </w:r>
    </w:p>
    <w:p w14:paraId="48511446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Application.ScreenUpdating = True</w:t>
      </w:r>
    </w:p>
    <w:p w14:paraId="6983A6E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ThisWorkbook.Worksheets("Карта рисков").Activate</w:t>
      </w:r>
    </w:p>
    <w:p w14:paraId="7AA603B1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MsgBox "Готово: 13 рисков внесены, карта перестроена, созданы листы «Ранжирование» и «Тепловая матрица»." &amp; vbCrLf &amp; _</w:t>
      </w:r>
    </w:p>
    <w:p w14:paraId="4DE8841A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"Максимальный H = 0,56 (R1, высокий приоритет).", vbInformation, "ПЗ3 — NotaCode"</w:t>
      </w:r>
    </w:p>
    <w:p w14:paraId="6C20BB60" w14:textId="77777777" w:rsidR="000F1C40" w:rsidRDefault="003E354E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sectPr w:rsidR="000F1C40" w:rsidSect="00034616">
      <w:footerReference w:type="defaul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1664" w14:textId="77777777" w:rsidR="003E354E" w:rsidRDefault="003E354E">
      <w:r>
        <w:separator/>
      </w:r>
    </w:p>
  </w:endnote>
  <w:endnote w:type="continuationSeparator" w:id="0">
    <w:p w14:paraId="285CFCB1" w14:textId="77777777" w:rsidR="003E354E" w:rsidRDefault="003E3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95349" w14:textId="77777777" w:rsidR="000F1C40" w:rsidRDefault="003E354E">
    <w:pPr>
      <w:pStyle w:val="a7"/>
      <w:ind w:firstLine="0"/>
      <w:jc w:val="right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B11C" w14:textId="77777777" w:rsidR="003E354E" w:rsidRDefault="003E354E">
      <w:r>
        <w:separator/>
      </w:r>
    </w:p>
  </w:footnote>
  <w:footnote w:type="continuationSeparator" w:id="0">
    <w:p w14:paraId="4D6A8927" w14:textId="77777777" w:rsidR="003E354E" w:rsidRDefault="003E3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146816">
    <w:abstractNumId w:val="8"/>
  </w:num>
  <w:num w:numId="2" w16cid:durableId="1548033057">
    <w:abstractNumId w:val="6"/>
  </w:num>
  <w:num w:numId="3" w16cid:durableId="655570467">
    <w:abstractNumId w:val="5"/>
  </w:num>
  <w:num w:numId="4" w16cid:durableId="1028407201">
    <w:abstractNumId w:val="4"/>
  </w:num>
  <w:num w:numId="5" w16cid:durableId="714504724">
    <w:abstractNumId w:val="7"/>
  </w:num>
  <w:num w:numId="6" w16cid:durableId="839124558">
    <w:abstractNumId w:val="3"/>
  </w:num>
  <w:num w:numId="7" w16cid:durableId="963123250">
    <w:abstractNumId w:val="2"/>
  </w:num>
  <w:num w:numId="8" w16cid:durableId="914515478">
    <w:abstractNumId w:val="1"/>
  </w:num>
  <w:num w:numId="9" w16cid:durableId="167503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C40"/>
    <w:rsid w:val="0015074B"/>
    <w:rsid w:val="0029639D"/>
    <w:rsid w:val="00326F90"/>
    <w:rsid w:val="003E354E"/>
    <w:rsid w:val="00464AE5"/>
    <w:rsid w:val="00935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31C2D1"/>
  <w14:defaultImageDpi w14:val="300"/>
  <w15:docId w15:val="{729F2B7D-9E6F-48FC-A9DC-7B41CBE7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35DA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35DA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35D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3922</Words>
  <Characters>22358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2013-12-23T23:15:00Z</dcterms:created>
  <dcterms:modified xsi:type="dcterms:W3CDTF">2026-09-26T07:23:00Z</dcterms:modified>
  <cp:category/>
</cp:coreProperties>
</file>