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практическому занятию №3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«Управление рисками проекта»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Слушатель гр.60121    </w:t>
        <w:tab/>
        <w:t xml:space="preserve">        К.А. Хаджинова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  <w:r>
        <w:br w:type="page"/>
      </w:r>
    </w:p>
    <w:p>
      <w:pPr>
        <w:keepNext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Освоение процессов управления рисками проекта по PMBOK: идентификация рисков, качественная оценка по вероятности и силе воздействия, построение реестра и карты рисков, выбор стратегий реагирования на примере программного проекта NotaCode.</w:t>
      </w:r>
    </w:p>
    <w:p>
      <w:pPr>
        <w:keepNext/>
        <w:pageBreakBefore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 ХОД РАБОТЫ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2.1 Теоретические сведения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Риск — неопределённое событие или условие, которое при наступлении влияет на цели проекта; проблема — реализовавшийся риск. Стандарт PMBOK выделяет шесть процессов управления рисками: планирование управления рисками, идентификация, качественная оценка, количественная оценка, планирование реагирования, мониторинг и контроль.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Качественный анализ определяет приоритет риска по двум параметрам — вероятности наступления P и силе воздействия I на проект. Итоговый коэффициент H = P × I. Шаблон карты рисков задаёт пороги: высокий приоритет — H от 0.505 до 1, средний — от 0.14 до 0.505, низкий — менее 0.14.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Стратегии реагирования на негативные риски: уклонение (изменение плана, исключающее угрозу), передача (переложение последствий на третью сторону), снижение (уменьшение вероятности и/или последствий до приемлемого уровня), принятие (осознанный отказ от изменения плана с формированием резерва).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2.2 Объект анализа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Объект анализа — проект NotaCode: веб-IDE класса «diagram as code» для формальных нотаций (UML, ERD, IDEF0, IDEF1X, IDEF3, DFD). Архитектура — сервисная с событийной интеграцией: Web IDE (React), Edge Gateway (Node.js, Express), пять Python-сервисов (Workspace, Language, Conversion, AI, Integration), PostgreSQL, MongoDB, Redis, RabbitMQ. Исполнитель — один; план — 13 недельных спринтов до защиты курсовой работы (18.12.2026), бюджет — 0 BYN.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2.3 Идентификация рисков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идентификации применены методы: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анализ документации — архитектура (C4, ADR), план спринтов, спецификация требований проекта;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анализ контрольных листов — список 10 наиболее распространённых рисков программного проекта Б. Боэма;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анализ предположений — допущения концепции проекта (ПЗ1, раздел 1.5);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– анализ предыдущих версий проекта — зафиксированные дефекты (несовместимые синтаксисы DSL, XSS в SVG, ключ API в клиентском бандле).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Реестр идентифицированных рисков приведён в таблице 1.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1 – Реестр рисков проекта NotaCode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Последствия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Триггер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Объём распределённой архитектуры (7 сервисов) превышает ресурсы одного исполнителя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Планирование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Срыв MVP к 13.12.2026, неполная демонстрация на защите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Velocity ниже плана два спринта подряд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R2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Вытеснение продуктовых задач лабораторными работами ч. 2 (8 ЛР, 4 ПЗ)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Организационный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Сдвиг спринтов продукта, накопление долга по MVP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Лабораторная работа занимает более одного спринта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R3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Расхождение грамматики DSL и профилей нотаций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Технический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Ошибки HTTP 500, ложная валидация, несовместимые синтаксисы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Падение контрактных тестов каталога нотаций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R4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Хранимая XSS-уязвимость через подписи узлов в SVG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Безопасность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Компрометация сессий пользователей, утечка данных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Замечание аудита безопасности, срабатывание CSP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R5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Требования 100 % покрытия и отсутствия комментариев замедляют разработку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Технический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Рост трудоёмкости задач на 20–30 %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Блокировка слияния конвейером CI более двух дней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R6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Отказ в согласовании Python-сервисов при рекомендованном стеке Node.js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Организационный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Перенос Language и Workspace Service на Node.js, сдвиг MVP на 2–3 спринта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Замечание руководителя при утверждении раздела 2.1 записки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R7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Перегрузка или болезнь единственного исполнителя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Организационный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Остановка всех работ проекта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Невыполнение цели спринта по причинам вне проекта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R8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Изменение или отмена бесплатных лимитов LLM API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Внешний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AI-ассистент доступен только в режиме заглушки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Ответы HTTP 429, отзыв ключа, закрытие сервиса провайдером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R9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Изменение бесплатных тарифов хостинга (Render, Neon, CloudAMQP, Upstash)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Внешний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Недоступность демонстрационного стенда на защите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Уведомление провайдера, превышение лимита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R10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Время Run превышает 300 мс для диаграммы из 200 узлов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Технический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Невыполнение NFR производительности, задержки интерфейса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Результаты нагрузочного теста анализа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R11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Перенос даты защиты на более ранний срок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Планирование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Сокращение объёма MVP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Объявление расписания защиты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R12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Утечка API-ключей и OAuth-токенов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Безопасность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Блокировка ключей, несанкционированные расходы, репутационный ущерб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Срабатывание secret scanning GitHub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R13</w:t>
            </w:r>
          </w:p>
        </w:tc>
        <w:tc>
          <w:tcPr>
            <w:tcW w:type="dxa" w:w="28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Нарушение Закона РБ № 99-З при обработке персональных данных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Правовой</w:t>
            </w:r>
          </w:p>
        </w:tc>
        <w:tc>
          <w:tcPr>
            <w:tcW w:type="dxa" w:w="238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Штраф, проверка НЦЗПД</w:t>
            </w:r>
          </w:p>
        </w:tc>
        <w:tc>
          <w:tcPr>
            <w:tcW w:type="dxa" w:w="226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Запуск регистрации без политики обработки ПДн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Соответствие рисков контрольному листу Б. Боэма приведено в таблице 2.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2 – Соответствие рисков списку Б. Боэма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Пункт списка Б. Боэма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Объём распределённой архитектуры (7 сервисов) превышает ресурсы одного исполнителя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 Нереалистичные сроки и бюджет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R2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Вытеснение продуктовых задач лабораторными работами ч. 2 (8 ЛР, 4 ПЗ)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 Непрекращающийся поток изменений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R3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Расхождение грамматики DSL и профилей нотаций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 Реализация несоответствующей функциональности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R4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Хранимая XSS-уязвимость через подписи узлов в SVG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 Недостатки в работах внешних ресурсов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R5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Требования 100 % покрытия и отсутствия комментариев замедляют разработку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 «Золотая сервировка», перфекционизм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R6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Отказ в согласовании Python-сервисов при рекомендованном стеке Node.js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10. Разрыв в квалификации разных областей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R7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Перегрузка или болезнь единственного исполнителя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 Дефицит специалистов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R8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Изменение или отмена бесплатных лимитов LLM API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 Нехватка информации о внешних компонентах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R9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Изменение бесплатных тарифов хостинга (Render, Neon, CloudAMQP, Upstash)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 Недостатки в работах внешних ресурсов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R10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Время Run превышает 300 мс для диаграммы из 200 узлов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 Недостаточная производительность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R11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Перенос даты защиты на более ранний срок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 Нереалистичные сроки и бюджет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R12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Утечка API-ключей и OAuth-токенов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 Недостатки в работах внешних ресурсов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R13</w:t>
            </w:r>
          </w:p>
        </w:tc>
        <w:tc>
          <w:tcPr>
            <w:tcW w:type="dxa" w:w="5102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Нарушение Закона РБ № 99-З при обработке персональных данных</w:t>
            </w:r>
          </w:p>
        </w:tc>
        <w:tc>
          <w:tcPr>
            <w:tcW w:type="dxa" w:w="385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2.4 Качественная оценка рисков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Вероятность P и сила воздействия I оценены экспертным методом в диапазоне от 0 до 1 по справочным шкалам шаблона. Данные внесены в структурированную таблицу «Таблица1» листа «Таблица с рисками» (строки 4–16); столбец H вычисляется формулой =F×G. Результаты оценки, упорядоченные по убыванию коэффициента, приведены в таблице 3.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3 – Качественная оценка и ранжирование рисков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Ранг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 = P × I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Объём распределённой архитектуры (7 сервисов) превышает ресурсы одного исполнителя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0.7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0.8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0.56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Высокий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R2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Вытеснение продуктовых задач лабораторными работами ч. 2 (8 ЛР, 4 ПЗ)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0.6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0.36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R3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Расхождение грамматики DSL и профилей нотаций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0.7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0.28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R4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Хранимая XSS-уязвимость через подписи узлов в SVG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0.9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0.27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R5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Требования 100 % покрытия и отсутствия комментариев замедляют разработку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0.25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R6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Отказ в согласовании Python-сервисов при рекомендованном стеке Node.js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0.8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0.24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R7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Перегрузка или болезнь единственного исполнителя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0.8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0.24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R9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Изменение бесплатных тарифов хостинга (Render, Neon, CloudAMQP, Upstash)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0.7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0.21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R8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Изменение или отмена бесплатных лимитов LLM API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R11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Перенос даты защиты на более ранний срок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0.6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0.18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R12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Утечка API-ключей и OAuth-токенов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0.8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0.16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R10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Время Run превышает 300 мс для диаграммы из 200 узлов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0.15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R13</w:t>
            </w:r>
          </w:p>
        </w:tc>
        <w:tc>
          <w:tcPr>
            <w:tcW w:type="dxa" w:w="419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Нарушение Закона РБ № 99-З при обработке персональных данных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</w:t>
            </w:r>
          </w:p>
        </w:tc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0.6</w:t>
            </w:r>
          </w:p>
        </w:tc>
        <w:tc>
          <w:tcPr>
            <w:tcW w:type="dxa" w:w="102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0.12</w:t>
            </w:r>
          </w:p>
        </w:tc>
        <w:tc>
          <w:tcPr>
            <w:tcW w:type="dxa" w:w="1361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Распределение по приоритетам: высокий — 1, средний — 11, низкий — 1. Наибольший коэффициент H = 0.56 имеет риск R1 «Объём распределённой архитектуры (7 сервисов) превышает ресурсы одного исполнителя».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2.5 Карта рисков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Лист «Карта рисков» содержит точечную диаграмму, построенную по столбцам F (вероятность) и G (сила воздействия) таблицы рисков; подписи точек R1–R13 соответствуют номерам рисков. Карта рисков с зонами приоритета по порогам шаблона приведена на рисунке 1.</w:t>
      </w:r>
    </w:p>
    <w:p>
      <w:pPr>
        <w:keepNext/>
        <w:spacing w:before="28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Карта рисков - Nota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80" w:line="240" w:lineRule="auto"/>
        <w:ind w:firstLine="0" w:left="0"/>
        <w:jc w:val="center"/>
      </w:pPr>
      <w:r>
        <w:rPr>
          <w:rFonts w:ascii="Times New Roman" w:hAnsi="Times New Roman"/>
          <w:sz w:val="28"/>
        </w:rPr>
        <w:t>Рисунок 1 – Карта рисков проекта NotaCode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2.6 Планирование реагирования на риски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Анализ выполнен в порядке убывания значимости риска. Выбранные стратегии и мероприятия приведены в таблице 4; мероприятия внесены в столбец I таблицы рисков.</w:t>
      </w:r>
    </w:p>
    <w:p>
      <w:pPr>
        <w:keepNext/>
        <w:spacing w:before="280" w:after="0" w:line="240" w:lineRule="auto"/>
        <w:ind w:firstLine="0" w:left="0"/>
        <w:jc w:val="left"/>
      </w:pPr>
      <w:r>
        <w:rPr>
          <w:rFonts w:ascii="Times New Roman" w:hAnsi="Times New Roman"/>
          <w:sz w:val="28"/>
        </w:rPr>
        <w:t>Таблица 4 – Стратегии и мероприятия реагирования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Стратегия</w:t>
            </w:r>
          </w:p>
        </w:tc>
        <w:tc>
          <w:tcPr>
            <w:tcW w:type="dxa" w:w="748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Мероприятия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Walking skeleton в S0, поэтапное подключение сервисов, перенос Could have в Post-MVP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R2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Лабораторная работа реализуется как компонент продукта (Gateway, Web IDE); дорожка Expedite с WIP = 1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R3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Уклонение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Единый каталог нотаций в packages/contracts; генерация подсветки, шаблонов и промптов из каталога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R4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Уклонение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Экранирование подписей в модели, санитизация SVG (DOMPurify), политика CSP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R5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TDD с первого спринта, чистое доменное ядро, моки портов, линтер-правило запрета комментариев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R6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Обоснование выбора в разделе 2.1, согласование в спринте S1; Gateway на Node.js закрывает требования ЛР1–ЛР8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R7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Принятие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Буферный спринт S12, документация и ADR в репозитории, автоматизация рутинных задач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R9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Передача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Резервный провайдер (Fly.io), локальный стенд docker compose для демонстрации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R8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Адаптеры нескольких провайдеров (Gemini, Groq, OpenRouter, Mistral), заглушка по умолчанию, локальный Ollama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R11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Принятие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Запрос даты у руководителя в спринте S1, приоритизация MoSCoW, перенос Should have в Post-MVP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R12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Уклонение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Секреты только на сервере (env, Vault), шифрование токенов AES-GCM, gitleaks в CI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R10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Снижение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Кэш анализа в Redis по хэшу текста, раскладка elkjs в Web Worker, профилирование парсера</w:t>
            </w:r>
          </w:p>
        </w:tc>
      </w:tr>
      <w:tr>
        <w:tc>
          <w:tcPr>
            <w:tcW w:type="dxa" w:w="680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R13</w:t>
            </w:r>
          </w:p>
        </w:tc>
        <w:tc>
          <w:tcPr>
            <w:tcW w:type="dxa" w:w="1474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Уклонение</w:t>
            </w:r>
          </w:p>
        </w:tc>
        <w:tc>
          <w:tcPr>
            <w:tcW w:type="dxa" w:w="7483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Политика обработки ПДн, согласие при регистрации, минимизация состава данных (e-mail, хэш пароля)</w:t>
            </w:r>
          </w:p>
        </w:tc>
      </w:tr>
    </w:tbl>
    <w:p>
      <w:pPr>
        <w:spacing w:before="0" w:after="120" w:line="240" w:lineRule="auto"/>
        <w:ind w:firstLine="0" w:left="0"/>
        <w:jc w:val="both"/>
      </w:pP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Распределение стратегий: снижение — 6, уклонение — 4, передача — 1, принятие — 2. Для принятых рисков R7 и R11 резервом служит буферный спринт S12.</w:t>
      </w:r>
    </w:p>
    <w:p>
      <w:pPr>
        <w:keepNext/>
        <w:spacing w:before="28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2.7 Мониторинг и контроль рисков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Реестр рисков пересматривается на каждом Sprint Review: проверяется наступление триггеров, уточняются оценки P и I, фиксируются новые риски. Метрики потока (velocity, cycle time, WIP) служат ранними индикаторами для рисков R1, R2 и R5.</w:t>
      </w:r>
    </w:p>
    <w:p>
      <w:pPr>
        <w:keepNext/>
        <w:pageBreakBefore/>
        <w:spacing w:before="0" w:after="280" w:line="240" w:lineRule="auto"/>
        <w:ind w:firstLine="709" w:left="0"/>
        <w:jc w:val="both"/>
      </w:pPr>
      <w:r>
        <w:rPr>
          <w:rFonts w:ascii="Times New Roman" w:hAnsi="Times New Roman"/>
          <w:b/>
          <w:sz w:val="28"/>
        </w:rPr>
        <w:t>ВЫВОДЫ</w:t>
      </w:r>
    </w:p>
    <w:p>
      <w:pPr>
        <w:spacing w:before="0" w:after="0" w:line="24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проекта NotaCode идентифицировано 13 рисков шести категорий (планирование, организационные, технические, безопасность, внешние, правовые). Качественная оценка выполнена в шаблоне «Карта рисков»: высокий приоритет имеет 1 риск, средний — 11, низкий — 1. Наиболее значимый риск — R1 (H = 0.56), связанный с объёмом распределённой архитектуры при одном исполнителе. Для каждого риска определены стратегия реагирования и мероприятия; преобладает стратегия снижения. Построена карта рисков, реестр включён в процедуру Sprint Review.</w:t>
      </w: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