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«Белорусский государственный университет информатики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Обособленное подразделение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«Институт информационных технологий БГУИР»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повышения квалификации и переподготовки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Кафедра микропроцессорных систем и сетей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практическому занятию №3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«Управление проектами»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на тему «Управление рисками проекта»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(на примере проекта DiagramCode)</w:t>
      </w:r>
    </w:p>
    <w:p/>
    <w:p/>
    <w:p/>
    <w:p/>
    <w:p>
      <w:r>
        <w:rPr>
          <w:rFonts w:ascii="Times New Roman" w:hAnsi="Times New Roman"/>
          <w:b w:val="0"/>
          <w:i w:val="0"/>
          <w:sz w:val="28"/>
        </w:rPr>
        <w:t>Слушатель гр. 60121                                                       Хаджинова К. А.</w:t>
      </w:r>
    </w:p>
    <w:p>
      <w:r>
        <w:rPr>
          <w:rFonts w:ascii="Times New Roman" w:hAnsi="Times New Roman"/>
          <w:b w:val="0"/>
          <w:i w:val="0"/>
          <w:sz w:val="28"/>
        </w:rPr>
        <w:t>Руководитель                                                                 И. В. Кашникова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/>
    <w:p>
      <w:r>
        <w:fldChar w:fldCharType="begin"/>
        <w:instrText xml:space="preserve">TOC \o "1-2" \h \z \u</w:instrText>
        <w:fldChar w:fldCharType="separate"/>
        <w:t>Нажми правой кнопкой -&gt; Обновить поле, чтобы собрать оглавление</w:t>
        <w:fldChar w:fldCharType="end"/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1 ЦЕЛЬ РАБОТЫ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Приобретение практических навыков идентификации проектных рисков, их качественной оценки по критериям вероятности и силы воздействия, построения карты рисков и определения приоритетных мер реагирования, на примере реального проекта </w:t>
      </w:r>
      <w:r>
        <w:rPr>
          <w:rFonts w:ascii="Times New Roman" w:hAnsi="Times New Roman"/>
          <w:i/>
          <w:sz w:val="28"/>
        </w:rPr>
        <w:t>DiagramCode.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2 ХОД РАБОТЫ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2.1 Обзор предметной области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Рассматривается риск-профиль курсового среза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на текущей стадии разработки: часть функциональности реализована на отдельных, ещё не смёрженных ветках репозитория, часть нотаций, заявленных обязательными для курсового среза, ещё не реализована, а разработку частично выполняют фоновые ИИ-агенты параллельно с самой разработчицей.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2.2 Теоретические сведения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Риск — неопределённое событие или условие, которое может повлиять на цели проекта; в отличие от проблемы (уже реализовавшегося риска), риск существует как возможность. Управление рисками, согласно </w:t>
      </w:r>
      <w:r>
        <w:rPr>
          <w:rFonts w:ascii="Times New Roman" w:hAnsi="Times New Roman"/>
          <w:i/>
          <w:sz w:val="28"/>
        </w:rPr>
        <w:t>PMBOK</w:t>
      </w:r>
      <w:r>
        <w:rPr>
          <w:rFonts w:ascii="Times New Roman" w:hAnsi="Times New Roman"/>
          <w:i w:val="0"/>
          <w:sz w:val="28"/>
        </w:rPr>
        <w:t>, включает шесть процедур: планирование управления рисками, идентификацию рисков, качественную и количественную оценку, планирование реагирования и мониторинг с контролем.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Идентификация рисков закрепляется в реестре рисков — таблице с описанием риска, его последствий и триггеров (событий-предвестников). Качественная оценка определяет приоритет риска на основе двух параметров — вероятности возникновения и силы воздействия на проект, обычно выражаемых числом от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 xml:space="preserve"> до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 или качественной шкалой (от «очень низкой» до «очень высокой»); итоговый коэффициент риска вычисляется как произведение этих двух величин, а результат визуализируется в виде карты рисков — точечной диаграммы в осях «вероятность × воздействие».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Для реагирования на выявленные риски применяются четыре стратегии: уклонение (</w:t>
      </w:r>
      <w:r>
        <w:rPr>
          <w:rFonts w:ascii="Times New Roman" w:hAnsi="Times New Roman"/>
          <w:i/>
          <w:sz w:val="28"/>
        </w:rPr>
        <w:t>avoidance</w:t>
      </w:r>
      <w:r>
        <w:rPr>
          <w:rFonts w:ascii="Times New Roman" w:hAnsi="Times New Roman"/>
          <w:i w:val="0"/>
          <w:sz w:val="28"/>
        </w:rPr>
        <w:t>) — полное устранение источника риска; передача (</w:t>
      </w:r>
      <w:r>
        <w:rPr>
          <w:rFonts w:ascii="Times New Roman" w:hAnsi="Times New Roman"/>
          <w:i/>
          <w:sz w:val="28"/>
        </w:rPr>
        <w:t>transference</w:t>
      </w:r>
      <w:r>
        <w:rPr>
          <w:rFonts w:ascii="Times New Roman" w:hAnsi="Times New Roman"/>
          <w:i w:val="0"/>
          <w:sz w:val="28"/>
        </w:rPr>
        <w:t>) — перекладывание последствий на третью сторону (например, страхование или условия договора); снижение (</w:t>
      </w:r>
      <w:r>
        <w:rPr>
          <w:rFonts w:ascii="Times New Roman" w:hAnsi="Times New Roman"/>
          <w:i/>
          <w:sz w:val="28"/>
        </w:rPr>
        <w:t>mitigation</w:t>
      </w:r>
      <w:r>
        <w:rPr>
          <w:rFonts w:ascii="Times New Roman" w:hAnsi="Times New Roman"/>
          <w:i w:val="0"/>
          <w:sz w:val="28"/>
        </w:rPr>
        <w:t>) — уменьшение вероятности и/или силы воздействия до приемлемого уровня; и принятие (</w:t>
      </w:r>
      <w:r>
        <w:rPr>
          <w:rFonts w:ascii="Times New Roman" w:hAnsi="Times New Roman"/>
          <w:i/>
          <w:sz w:val="28"/>
        </w:rPr>
        <w:t>acceptance</w:t>
      </w:r>
      <w:r>
        <w:rPr>
          <w:rFonts w:ascii="Times New Roman" w:hAnsi="Times New Roman"/>
          <w:i w:val="0"/>
          <w:sz w:val="28"/>
        </w:rPr>
        <w:t>) — осознанный отказ от противодействия риску при сохранении готовности покрыть возможные потери.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2.3 Идентификация и реестр рисков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По итогам анализа проекта идентифицировано девять рисков, охватывающих технические, организационные и внешние факторы. Реестр рисков с оценкой вероятности (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i w:val="0"/>
          <w:sz w:val="28"/>
        </w:rPr>
        <w:t>) и силы воздействия (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i w:val="0"/>
          <w:sz w:val="28"/>
        </w:rPr>
        <w:t xml:space="preserve">) по шкале от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 xml:space="preserve"> до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 приведён в таблице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 xml:space="preserve">; итоговый коэффициент риска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 xml:space="preserve"> вычислен как произведение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F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H=F×G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Ветки feature/notation-bpmn-and-collab и feature/real-ide-app не смёржены к дате защиты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Нотации uml.class и idef0 (FR-NOT-06) не реализованы к сроку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Качество кода фоновых ИИ-агентов не соответствует ожиданиям при ручной проверке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Единственный разработчик перегружен или заболевает перед защитой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Смешение трёх обязательств (лабы Часть 1/2, курсовая, реальный продукт) в одном репозитории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Реальная БД Neon PostgreSQL и Redis не подключены и не проверены end-to-end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AI-провайдер остаётся в режиме заглушки (StubAIProvider)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0.18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Хостинг-провайдер (Render/Netlify) недоступен или меняет бесплатные лимиты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0.14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Дата защиты курсовой работы смещается или уточняется поздно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Таблица упорядочена по убыванию итогового коэффициента риска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 xml:space="preserve"> — так наиболее приоритетные риски (несмёрженные ветки разработки и нереализованные обязательные нотации) оказываются первыми, что соответствует общей стратегии анализа рисков: начинать с наиболее значимых.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2.4 Карта рисков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Реестр рисков внесён в структурную таблицу листа «Таблица с рисками» файла Карта рисков - </w:t>
      </w:r>
      <w:r>
        <w:rPr>
          <w:rFonts w:ascii="Times New Roman" w:hAnsi="Times New Roman"/>
          <w:i/>
          <w:sz w:val="28"/>
        </w:rPr>
        <w:t>DiagramCode.xlsx</w:t>
      </w:r>
      <w:r>
        <w:rPr>
          <w:rFonts w:ascii="Times New Roman" w:hAnsi="Times New Roman"/>
          <w:i w:val="0"/>
          <w:sz w:val="28"/>
        </w:rPr>
        <w:t xml:space="preserve">; встроенная диаграмма рассеяния на листе «Карта рисков» того же файла автоматически отображает каждый риск точкой в осях «вероятность возникновения × сила воздействия» (см. рисунок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>). Риски в правом верхнем углу карты (высокая вероятность и высокое воздействие одновременно) требуют первоочередного внимания.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 xml:space="preserve">[Сюда вставить скриншот листа «Карта рисков» из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/>
          <w:sz w:val="28"/>
        </w:rPr>
        <w:t xml:space="preserve"> — инструкция по снятию скриншота в файле «ИНСТРУКЦИЯ - </w:t>
      </w:r>
      <w:r>
        <w:rPr>
          <w:rFonts w:ascii="Times New Roman" w:hAnsi="Times New Roman"/>
          <w:i/>
          <w:sz w:val="28"/>
        </w:rPr>
        <w:t>Excel-</w:t>
      </w:r>
      <w:r>
        <w:rPr>
          <w:rFonts w:ascii="Times New Roman" w:hAnsi="Times New Roman"/>
          <w:i/>
          <w:sz w:val="28"/>
        </w:rPr>
        <w:t>файлы (Гант и риски).</w:t>
      </w:r>
      <w:r>
        <w:rPr>
          <w:rFonts w:ascii="Times New Roman" w:hAnsi="Times New Roman"/>
          <w:i/>
          <w:sz w:val="28"/>
        </w:rPr>
        <w:t>md</w:t>
      </w:r>
      <w:r>
        <w:rPr>
          <w:rFonts w:ascii="Times New Roman" w:hAnsi="Times New Roman"/>
          <w:i/>
          <w:sz w:val="28"/>
        </w:rPr>
        <w:t xml:space="preserve">», раздел </w:t>
      </w:r>
      <w:r>
        <w:rPr>
          <w:rFonts w:ascii="Times New Roman" w:hAnsi="Times New Roman"/>
          <w:i/>
          <w:sz w:val="28"/>
        </w:rPr>
        <w:t>2.6</w:t>
      </w:r>
      <w:r>
        <w:rPr>
          <w:rFonts w:ascii="Times New Roman" w:hAnsi="Times New Roman"/>
          <w:i/>
          <w:sz w:val="28"/>
        </w:rPr>
        <w:t>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Рисунок 2.1 – Карта рисков проекта DiagramCode: положение 9 идентифицированных рисков на матрице «вероятность × сила воздействия», построено автоматически по данным реестра рисков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2.5 Меры реагирования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Для двух наиболее приоритетных рисков выбрана стратегия снижения (</w:t>
      </w:r>
      <w:r>
        <w:rPr>
          <w:rFonts w:ascii="Times New Roman" w:hAnsi="Times New Roman"/>
          <w:i/>
          <w:sz w:val="28"/>
        </w:rPr>
        <w:t>mitigation</w:t>
      </w:r>
      <w:r>
        <w:rPr>
          <w:rFonts w:ascii="Times New Roman" w:hAnsi="Times New Roman"/>
          <w:i w:val="0"/>
          <w:sz w:val="28"/>
        </w:rPr>
        <w:t>): риск несмёрженных веток снижается ранним слиянием обеих веток в единую защищаемую ветку с прогоном тестов после каждого объединения, а риск нереализованных нотаций — либо честной фиксацией фактического объёма в отчёте, либо резервированием времени на их доработку. Для риска, связанного с недоступностью хостинг-провайдера, применена стратегия снижения через резервный вариант локального запуска (</w:t>
      </w:r>
      <w:r>
        <w:rPr>
          <w:rFonts w:ascii="Times New Roman" w:hAnsi="Times New Roman"/>
          <w:i/>
          <w:sz w:val="28"/>
        </w:rPr>
        <w:t>docker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compose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up</w:t>
      </w:r>
      <w:r>
        <w:rPr>
          <w:rFonts w:ascii="Times New Roman" w:hAnsi="Times New Roman"/>
          <w:i w:val="0"/>
          <w:sz w:val="28"/>
        </w:rPr>
        <w:t>), а для риска смещения даты защиты — стратегия принятия (</w:t>
      </w:r>
      <w:r>
        <w:rPr>
          <w:rFonts w:ascii="Times New Roman" w:hAnsi="Times New Roman"/>
          <w:i/>
          <w:sz w:val="28"/>
        </w:rPr>
        <w:t>acceptance</w:t>
      </w:r>
      <w:r>
        <w:rPr>
          <w:rFonts w:ascii="Times New Roman" w:hAnsi="Times New Roman"/>
          <w:i w:val="0"/>
          <w:sz w:val="28"/>
        </w:rPr>
        <w:t xml:space="preserve">) с запасом времени в графике проекта. Полный перечень мер по каждому риску приведён в столбце «Мероприятия по минимизации рисков» файла Карта рисков - </w:t>
      </w:r>
      <w:r>
        <w:rPr>
          <w:rFonts w:ascii="Times New Roman" w:hAnsi="Times New Roman"/>
          <w:i/>
          <w:sz w:val="28"/>
        </w:rPr>
        <w:t>DiagramCode.xlsx.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В ходе практического занятия идентифицированы девять рисков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>, для каждого определены вероятность возникновения и сила воздействия, вычислен итоговый коэффициент риска и построена карта рисков в осях «вероятность × воздействие». Наиболее приоритетными оказались риск несмёрженных веток разработки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>=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45</w:t>
      </w:r>
      <w:r>
        <w:rPr>
          <w:rFonts w:ascii="Times New Roman" w:hAnsi="Times New Roman"/>
          <w:i w:val="0"/>
          <w:sz w:val="28"/>
        </w:rPr>
        <w:t>) и риск нереализованных обязательных нотаций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>=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42</w:t>
      </w:r>
      <w:r>
        <w:rPr>
          <w:rFonts w:ascii="Times New Roman" w:hAnsi="Times New Roman"/>
          <w:i w:val="0"/>
          <w:sz w:val="28"/>
        </w:rPr>
        <w:t xml:space="preserve">) — для обоих определены конкретные меры снижения. Расчёт коэффициентов дополнительно проверен независимым скриптом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i w:val="0"/>
          <w:sz w:val="28"/>
        </w:rPr>
        <w:t xml:space="preserve"> без использования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>, что подтверждает его корректность.</w:t>
      </w:r>
    </w:p>
    <w:p>
      <w:r>
        <w:rPr>
          <w:rFonts w:ascii="Times New Roman" w:hAnsi="Times New Roman"/>
          <w:b w:val="0"/>
          <w:i w:val="0"/>
          <w:sz w:val="28"/>
        </w:rPr>
        <w:t>Ссылка на репозиторий: https://github.com/KsushaKhadzhinova/ProjectManagement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