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sz w:val="28"/>
        </w:rPr>
        <w:t>Министерство образования Республики Беларусь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Учреждение образования «Белорусский государственный университет информатики и радиоэлектроники»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Факультет повышения квалификации и переподготовки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Кафедра микропроцессорных систем и сетей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# ОТЧЁТ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по практическому занятию №4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по дисциплине «Управление проектами»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на тему «Диаграмма Ганта и сетевое планирование (метод критического пути)»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 xml:space="preserve">Проект: </w:t>
      </w:r>
      <w:r>
        <w:rPr>
          <w:rFonts w:ascii="Times New Roman" w:hAnsi="Times New Roman"/>
          <w:b/>
          <w:sz w:val="28"/>
        </w:rPr>
        <w:t>NotaCode</w:t>
      </w:r>
      <w:r>
        <w:rPr>
          <w:rFonts w:ascii="Times New Roman" w:hAnsi="Times New Roman"/>
          <w:sz w:val="28"/>
        </w:rPr>
        <w:t xml:space="preserve"> — веб-IDE «diagram as code» для формальных нотаций моделирования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Слушатель гр. 60121 — `&lt;ФИО&gt;`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Руководитель — И.В. Кашникова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Минск, 2026</w:t>
      </w:r>
    </w:p>
    <w:p>
      <w:r>
        <w:br w:type="page"/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1. Иерархическая структура работ (WBS)</w:t>
      </w:r>
    </w:p>
    <w:p>
      <w:r>
        <w:rPr>
          <w:rFonts w:ascii="Times New Roman" w:hAnsi="Times New Roman"/>
          <w:sz w:val="28"/>
        </w:rPr>
        <w:t>WBS построена укрупнением 13 продуктовых эпиков проекта NotaCode (E0–E13, см. `docs/planning/agile-plan.md §7`) до 15 работ верхнего уровня. Каждая работа имеет уникальный код в формате `N.0`.</w:t>
      </w:r>
    </w:p>
    <w:p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Название проекта:</w:t>
      </w:r>
      <w:r>
        <w:rPr>
          <w:rFonts w:ascii="Times New Roman" w:hAnsi="Times New Roman"/>
          <w:sz w:val="28"/>
        </w:rPr>
        <w:t xml:space="preserve"> NotaCode — веб-IDE для формальных нотаций моделирования на собственном DSL.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Название работы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Бизнес-анализ и требования (концепция, стейкхолдеры, SMART, BRD, SRS)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Архитектура и ADR (C4, модель данных, ревью)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Фундамент: монорепо, CI, Docker, walking skeleton (E0)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Gateway и доступ: Express, Sequelize, JWT (E1, ЛР1–3)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Язык DSL: грамматика, парсер, диагностика (E2)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Web IDE: оболочка, Monaco, панели, темы (E4)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7.0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Нотации волны 1: UML, ERD, IDEF0 и др. (E3)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8.0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Холст: SVG-рендер, elkjs, подсветка (E5)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9.0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Сохранение и интеграции: устройство, БД, GitHub, Drive (E7)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10.0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Экспорт/импорт форматов (E8)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11.0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AI-ассистент: заглушка, адаптеры, режимы (E9)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Версии, diff, откат (E6)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13.0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Качество и наблюдаемость: тесты e2e, Lighthouse, OTel (E12)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14.0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Документация и РПЗ курсовой (E13)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15.0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Стабилизация MVP, буфер, защита</w:t>
            </w:r>
          </w:p>
        </w:tc>
      </w:tr>
    </w:tbl>
    <w:p/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2. Длительность каждой работы</w:t>
      </w:r>
    </w:p>
    <w:p>
      <w:r>
        <w:rPr>
          <w:rFonts w:ascii="Times New Roman" w:hAnsi="Times New Roman"/>
          <w:sz w:val="28"/>
        </w:rPr>
        <w:t xml:space="preserve">Длительности оценены экспертным методом (укрупнённо в месяцах, с учётом фактического темпа одного разработчика с AI-ассистентом). Формула PERT `(O + 4M + P) / 6` применена для оценки работы 6.0 (Web IDE, самая неопределённая по объёму задача): O = 1,0 мес., M = 1,5 мес., P = 2,5 мес. → D = (1,0 + 4·1,5 + 2,5) / 6 = 1,58 ≈ </w:t>
      </w:r>
      <w:r>
        <w:rPr>
          <w:rFonts w:ascii="Times New Roman" w:hAnsi="Times New Roman"/>
          <w:b/>
          <w:sz w:val="28"/>
        </w:rPr>
        <w:t>1,5 мес.</w:t>
      </w:r>
      <w:r>
        <w:rPr>
          <w:rFonts w:ascii="Times New Roman" w:hAnsi="Times New Roman"/>
          <w:sz w:val="28"/>
        </w:rPr>
        <w:t xml:space="preserve"> (использовано округлённое значение).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Название работы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Длительность (мес.)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Бизнес-анализ и требования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Архитектура и ADR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Фундамент (CI, Docker, walking skeleton)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Gateway и доступ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Язык DSL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Web IDE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1.5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7.0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Нотации волны 1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1.5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8.0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Холст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9.0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Сохранение и интеграции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10.0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Экспорт/импорт форматов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11.0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AI-ассистент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Версии, diff, откат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13.0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Качество и наблюдаемость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14.0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Документация и РПЗ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0.75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15.0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Стабилизация MVP, буфер, защита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0.25</w:t>
            </w:r>
          </w:p>
        </w:tc>
      </w:tr>
    </w:tbl>
    <w:p/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3. Взаимосвязи между работами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Код работы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Название работы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Непосредственные предшественники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Бизнес-анализ и требования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Архитектура и ADR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Фундамент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Gateway и доступ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Язык DSL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Web IDE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7.0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Нотации волны 1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8.0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Холст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9.0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Сохранение и интеграции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4.0, 6.0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10.0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Экспорт/импорт форматов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7.0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11.0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AI-ассистент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Версии, diff, откат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9.0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13.0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Качество и наблюдаемость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7.0, 8.0, 9.0, 10.0, 11.0, 12.0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14.0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Документация и РПЗ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13.0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15.0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Стабилизация MVP, буфер, защита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14.0</w:t>
            </w:r>
          </w:p>
        </w:tc>
      </w:tr>
    </w:tbl>
    <w:p/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4. Расчёт сетевого графика (метод критического пути, CPM)</w:t>
      </w:r>
    </w:p>
    <w:p>
      <w:r>
        <w:rPr>
          <w:rFonts w:ascii="Times New Roman" w:hAnsi="Times New Roman"/>
          <w:sz w:val="28"/>
        </w:rPr>
        <w:t>Расчёт выполнен прямым и обратным проходом (скрипт `calc_and_charts.py`, продублирован в Excel макросом `modGanttCriticalPath.bas`).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Код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Название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Длит.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Предш.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ES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EF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LS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LF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Резерв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Критич.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Бизнес-анализ и требования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**ДА**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Архитектура и ADR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**ДА**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Фундамент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**ДА**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Gateway и доступ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Язык DSL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**ДА**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Web IDE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**ДА**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7.0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Нотации волны 1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8.0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Холст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3.5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9.0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Сохранение и интеграции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4.0, 6.0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**ДА**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Экспорт/импорт форматов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7.0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AI-ассистент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4.5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Версии, diff, откат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9.0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**ДА**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13.0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Качество и наблюдаемость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7.0, 8.0, 9.0, 10.0, 11.0, 12.0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**ДА**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14.0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Документация и РПЗ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0.75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13.0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6.75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6.75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**ДА**</w:t>
            </w:r>
          </w:p>
        </w:tc>
      </w:tr>
      <w:tr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15.0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Стабилизация MVP, буфер, защита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0.25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14.0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6.75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7.0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6.75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7.0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0.0</w:t>
            </w:r>
          </w:p>
        </w:tc>
        <w:tc>
          <w:tcPr>
            <w:tcW w:type="dxa" w:w="935"/>
          </w:tcPr>
          <w:p>
            <w:pPr>
              <w:ind w:firstLine="0"/>
            </w:pPr>
            <w:r>
              <w:rPr>
                <w:rFonts w:ascii="Times New Roman" w:hAnsi="Times New Roman"/>
                <w:sz w:val="22"/>
              </w:rPr>
              <w:t>**ДА**</w:t>
            </w:r>
          </w:p>
        </w:tc>
      </w:tr>
    </w:tbl>
    <w:p/>
    <w:p>
      <w:r>
        <w:rPr>
          <w:rFonts w:ascii="Times New Roman" w:hAnsi="Times New Roman"/>
          <w:sz w:val="28"/>
        </w:rPr>
        <w:t>Полная таблица — [`img/cpm_table.csv`](img/cpm_table.csv).</w:t>
      </w:r>
    </w:p>
    <w:p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Расчётная длительность проекта: 7,0 месяцев.</w:t>
      </w:r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</w:r>
      <w:r>
        <w:rPr>
          <w:rFonts w:ascii="Times New Roman" w:hAnsi="Times New Roman"/>
          <w:b/>
          <w:sz w:val="28"/>
        </w:rPr>
        <w:t>Критический путь (10 из 15 работ, суммарный резерв = 0):</w:t>
      </w:r>
      <w:r>
        <w:rPr>
          <w:rFonts w:ascii="Times New Roman" w:hAnsi="Times New Roman"/>
          <w:sz w:val="28"/>
        </w:rPr>
      </w:r>
    </w:p>
    <w:p>
      <w:r>
        <w:rPr>
          <w:rFonts w:ascii="Times New Roman" w:hAnsi="Times New Roman"/>
          <w:sz w:val="28"/>
        </w:rPr>
        <w:t>`1.0 → 2.0 → 3.0 → 5.0 → 6.0 → 9.0 → 12.0 → 13.0 → 14.0 → 15.0`</w:t>
      </w:r>
    </w:p>
    <w:p>
      <w:r>
        <w:rPr>
          <w:rFonts w:ascii="Times New Roman" w:hAnsi="Times New Roman"/>
          <w:sz w:val="28"/>
        </w:rPr>
        <w:t>Работы 4.0 (Gateway), 7.0 (Нотации волны 1), 8.0 (Холст), 10.0 (Экспорт/импорт), 11.0 (AI-ассистент) имеют положительный резерв (1,0–2,0 мес.) и не лежат на критическом пути — их можно задерживать в указанных пределах без влияния на общий срок проекта.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5. Диаграмма Ганта</w:t>
      </w:r>
    </w:p>
    <w:p>
      <w:r>
        <w:rPr>
          <w:rFonts w:ascii="Times New Roman" w:hAnsi="Times New Roman"/>
          <w:sz w:val="28"/>
        </w:rPr>
        <w:t>Диаграмма Ганта построена по расчётным ES/EF; критические работы выделены красным, резерв времени — штриховкой.</w:t>
      </w:r>
    </w:p>
    <w:p>
      <w:r>
        <w:drawing>
          <wp:inline xmlns:a="http://schemas.openxmlformats.org/drawingml/2006/main" xmlns:pic="http://schemas.openxmlformats.org/drawingml/2006/picture">
            <wp:extent cx="5400000" cy="2945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ritical_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— Диаграмма Ганта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6. Сетевой график (метод предшествования, PDM)</w:t>
      </w:r>
    </w:p>
    <w:p>
      <w:r>
        <w:rPr>
          <w:rFonts w:ascii="Times New Roman" w:hAnsi="Times New Roman"/>
          <w:sz w:val="28"/>
        </w:rPr>
        <w:t>Сетевой график отображает работы как узлы, а зависимости — стрелками. Работы и связи критического пути выделены красным.</w:t>
      </w:r>
    </w:p>
    <w:p>
      <w:r>
        <w:drawing>
          <wp:inline xmlns:a="http://schemas.openxmlformats.org/drawingml/2006/main" xmlns:pic="http://schemas.openxmlformats.org/drawingml/2006/picture">
            <wp:extent cx="5400000" cy="2907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i/>
          <w:sz w:val="24"/>
        </w:rPr>
        <w:t>Рисунок — Сетевой график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7. Выводы</w:t>
      </w:r>
    </w:p>
    <w:p>
      <w:r>
        <w:rPr>
          <w:rFonts w:ascii="Times New Roman" w:hAnsi="Times New Roman"/>
          <w:sz w:val="28"/>
        </w:rPr>
        <w:t>Критический путь проходит через 10 из 15 работ и определяет минимальный срок проекта — 7 месяцев. Работы, не лежащие на критическом пути (Gateway, нотации волны 1, холст, экспорт/импорт, AI-ассистент), обладают резервом от 1,0 до 2,0 месяцев и могут выполняться с некоторым отставанием без влияния на общий срок — на практике это соответствует решению `agile-plan.md §12` направлять лабораторные работы через дорожку Expedite, не затрагивая критические продуктовые задачи (язык DSL, Web IDE, сохранение/интеграции, версии, качество, документация). Диаграмма Ганта по спринтам (Scrum-календарь) приведена отдельно в `docs/planning/agile-plan.md §9` — она отвечает на вопрос «что делаем на этой неделе», тогда как настоящий отчёт — сетевая модель по методу критического пути для расчёта минимального срока проекта в целом.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